
<file path=[Content_Types].xml><?xml version="1.0" encoding="utf-8"?>
<Types xmlns="http://schemas.openxmlformats.org/package/2006/content-types">
  <Default Extension="xml" ContentType="application/xml"/>
  <Default Extension="emf" ContentType="image/x-emf"/>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ind w:firstLine="0" w:firstLineChars="0"/>
        <w:jc w:val="center"/>
        <w:rPr>
          <w:rFonts w:eastAsia="方正小标宋简体"/>
          <w:sz w:val="44"/>
        </w:rPr>
      </w:pPr>
      <w:bookmarkStart w:id="0" w:name="_Toc23788280"/>
      <w:bookmarkStart w:id="1" w:name="_Toc467753385"/>
      <w:bookmarkStart w:id="362" w:name="_GoBack"/>
      <w:bookmarkEnd w:id="362"/>
      <w:r>
        <w:rPr>
          <w:rFonts w:eastAsia="方正小标宋简体"/>
          <w:sz w:val="44"/>
        </w:rPr>
        <w:t>廊坊市</w:t>
      </w:r>
      <w:r>
        <w:rPr>
          <w:rFonts w:hint="eastAsia" w:ascii="仿宋_GB2312"/>
          <w:sz w:val="44"/>
        </w:rPr>
        <w:t>泃</w:t>
      </w:r>
      <w:r>
        <w:rPr>
          <w:rFonts w:eastAsia="方正小标宋简体"/>
          <w:sz w:val="44"/>
        </w:rPr>
        <w:t>河水质达标方案（修订版）</w:t>
      </w:r>
    </w:p>
    <w:p>
      <w:pPr>
        <w:pStyle w:val="2"/>
        <w:ind w:firstLine="640"/>
      </w:pPr>
    </w:p>
    <w:p>
      <w:pPr>
        <w:pStyle w:val="2"/>
        <w:spacing w:line="590" w:lineRule="exact"/>
        <w:ind w:firstLine="640"/>
      </w:pPr>
      <w:r>
        <w:t>一、总则</w:t>
      </w:r>
      <w:bookmarkEnd w:id="0"/>
      <w:bookmarkEnd w:id="1"/>
    </w:p>
    <w:p>
      <w:pPr>
        <w:pStyle w:val="3"/>
        <w:spacing w:line="590" w:lineRule="exact"/>
        <w:ind w:firstLine="643"/>
        <w:rPr>
          <w:rFonts w:eastAsia="楷体_GB2312"/>
        </w:rPr>
      </w:pPr>
      <w:bookmarkStart w:id="2" w:name="_Toc23788281"/>
      <w:r>
        <w:rPr>
          <w:rFonts w:eastAsia="楷体_GB2312"/>
        </w:rPr>
        <w:t>1.1修订目的</w:t>
      </w:r>
      <w:bookmarkEnd w:id="2"/>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为全面贯彻落实党的十九大精神，以习近平生态文明思想为指导，牢固树立新发展理念，坚决落实党中央、国务院关于生态文明建设和污染防治攻坚战的决策部署和省委省政府关于污染防治攻坚战相关要求，针对廊坊市重点河流水环境质量总体好转、污染源治理初见成效、新的污染形势逐步突显的局面，在新理念、新部署、新形势、新要求下，进一步保障水环境质量目标稳定达标，提高水环境管理系统化、科学化、法治化、精细化水平，特对《廊坊市</w:t>
      </w:r>
      <w:r>
        <w:rPr>
          <w:rFonts w:ascii="Times New Roman" w:hAnsi="Times New Roman" w:eastAsia="仿宋"/>
          <w:sz w:val="32"/>
          <w:szCs w:val="32"/>
        </w:rPr>
        <w:t>泃</w:t>
      </w:r>
      <w:r>
        <w:rPr>
          <w:rFonts w:ascii="Times New Roman" w:hAnsi="Times New Roman" w:eastAsia="仿宋_GB2312"/>
          <w:sz w:val="32"/>
          <w:szCs w:val="32"/>
        </w:rPr>
        <w:t>河水质达标方案》进行修订。</w:t>
      </w:r>
    </w:p>
    <w:p>
      <w:pPr>
        <w:pStyle w:val="3"/>
        <w:spacing w:line="590" w:lineRule="exact"/>
        <w:ind w:firstLine="643"/>
        <w:rPr>
          <w:rFonts w:eastAsia="楷体_GB2312"/>
        </w:rPr>
      </w:pPr>
      <w:bookmarkStart w:id="3" w:name="_Toc23788282"/>
      <w:bookmarkStart w:id="4" w:name="_Toc467753387"/>
      <w:r>
        <w:rPr>
          <w:rFonts w:eastAsia="楷体_GB2312"/>
        </w:rPr>
        <w:t>1.2编制依据</w:t>
      </w:r>
      <w:bookmarkEnd w:id="3"/>
      <w:bookmarkEnd w:id="4"/>
    </w:p>
    <w:p>
      <w:pPr>
        <w:pStyle w:val="4"/>
        <w:spacing w:line="590" w:lineRule="exact"/>
        <w:ind w:firstLine="643"/>
      </w:pPr>
      <w:bookmarkStart w:id="5" w:name="_Toc23788283"/>
      <w:bookmarkStart w:id="6" w:name="_Toc467753388"/>
      <w:r>
        <w:t>1.2.1全国性法律、法规及规范性文件</w:t>
      </w:r>
      <w:bookmarkEnd w:id="5"/>
      <w:bookmarkEnd w:id="6"/>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（1）《中华人民共和国环境保护法》</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（2）《中华人民共和国水污染防治法》</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（3）《中华人民共和国水法》</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（4）《中华人民共和国清洁生产促进法》</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（5）《中华人民共和国渔业法》</w:t>
      </w:r>
    </w:p>
    <w:p>
      <w:pPr>
        <w:pStyle w:val="14"/>
        <w:autoSpaceDN w:val="0"/>
        <w:adjustRightInd w:val="0"/>
        <w:snapToGrid w:val="0"/>
        <w:spacing w:line="590" w:lineRule="exact"/>
        <w:ind w:firstLine="640"/>
        <w:rPr>
          <w:rFonts w:hint="eastAsia" w:ascii="Times New Roman" w:hAnsi="Times New Roman" w:eastAsia="仿宋_GB2312"/>
          <w:sz w:val="32"/>
          <w:szCs w:val="32"/>
        </w:rPr>
      </w:pPr>
      <w:r>
        <w:rPr>
          <w:rFonts w:ascii="Times New Roman" w:hAnsi="Times New Roman" w:eastAsia="仿宋_GB2312"/>
          <w:sz w:val="32"/>
          <w:szCs w:val="32"/>
        </w:rPr>
        <w:t>（6）《中华人民共和国固体废物污染环境防治法》</w:t>
      </w:r>
    </w:p>
    <w:p>
      <w:pPr>
        <w:pStyle w:val="14"/>
        <w:autoSpaceDN w:val="0"/>
        <w:adjustRightInd w:val="0"/>
        <w:snapToGrid w:val="0"/>
        <w:spacing w:line="590" w:lineRule="exact"/>
        <w:ind w:firstLine="640"/>
        <w:rPr>
          <w:rFonts w:hint="eastAsia" w:ascii="Times New Roman" w:hAnsi="Times New Roman" w:eastAsia="仿宋_GB2312"/>
          <w:sz w:val="32"/>
          <w:szCs w:val="32"/>
        </w:rPr>
      </w:pPr>
      <w:r>
        <w:rPr>
          <w:rFonts w:ascii="Times New Roman" w:hAnsi="Times New Roman" w:eastAsia="仿宋_GB2312"/>
          <w:sz w:val="32"/>
          <w:szCs w:val="32"/>
        </w:rPr>
        <w:t>（</w:t>
      </w:r>
      <w:r>
        <w:rPr>
          <w:rFonts w:hint="eastAsia" w:ascii="Times New Roman" w:hAnsi="Times New Roman" w:eastAsia="仿宋_GB2312"/>
          <w:sz w:val="32"/>
          <w:szCs w:val="32"/>
        </w:rPr>
        <w:t>7</w:t>
      </w:r>
      <w:r>
        <w:rPr>
          <w:rFonts w:ascii="Times New Roman" w:hAnsi="Times New Roman" w:eastAsia="仿宋_GB2312"/>
          <w:sz w:val="32"/>
          <w:szCs w:val="32"/>
        </w:rPr>
        <w:t>）《畜禽养殖污染防治管理办法》</w:t>
      </w:r>
    </w:p>
    <w:p>
      <w:pPr>
        <w:pStyle w:val="14"/>
        <w:autoSpaceDN w:val="0"/>
        <w:adjustRightInd w:val="0"/>
        <w:snapToGrid w:val="0"/>
        <w:spacing w:line="590" w:lineRule="exact"/>
        <w:ind w:firstLine="640"/>
        <w:rPr>
          <w:rFonts w:ascii="Times New Roman" w:hAnsi="Times New Roman" w:eastAsia="仿宋_GB2312"/>
          <w:spacing w:val="4"/>
          <w:sz w:val="32"/>
          <w:szCs w:val="32"/>
        </w:rPr>
      </w:pPr>
      <w:r>
        <w:rPr>
          <w:rFonts w:ascii="Times New Roman" w:hAnsi="Times New Roman" w:eastAsia="仿宋_GB2312"/>
          <w:sz w:val="32"/>
          <w:szCs w:val="32"/>
        </w:rPr>
        <w:t>（</w:t>
      </w:r>
      <w:r>
        <w:rPr>
          <w:rFonts w:hint="eastAsia" w:ascii="Times New Roman" w:hAnsi="Times New Roman" w:eastAsia="仿宋_GB2312"/>
          <w:sz w:val="32"/>
          <w:szCs w:val="32"/>
        </w:rPr>
        <w:t>8</w:t>
      </w:r>
      <w:r>
        <w:rPr>
          <w:rFonts w:ascii="Times New Roman" w:hAnsi="Times New Roman" w:eastAsia="仿宋_GB2312"/>
          <w:sz w:val="32"/>
          <w:szCs w:val="32"/>
        </w:rPr>
        <w:t>）</w:t>
      </w:r>
      <w:r>
        <w:rPr>
          <w:rFonts w:ascii="Times New Roman" w:hAnsi="Times New Roman" w:eastAsia="仿宋_GB2312"/>
          <w:spacing w:val="4"/>
          <w:sz w:val="32"/>
          <w:szCs w:val="32"/>
        </w:rPr>
        <w:t>《中共中央国务院关于加快推进生态文明建设的指导意见》</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w:t>
      </w:r>
      <w:r>
        <w:rPr>
          <w:rFonts w:hint="eastAsia" w:ascii="Times New Roman" w:hAnsi="Times New Roman" w:eastAsia="仿宋_GB2312"/>
          <w:sz w:val="32"/>
          <w:szCs w:val="32"/>
        </w:rPr>
        <w:t>9</w:t>
      </w:r>
      <w:r>
        <w:rPr>
          <w:rFonts w:ascii="Times New Roman" w:hAnsi="Times New Roman" w:eastAsia="仿宋_GB2312"/>
          <w:sz w:val="32"/>
          <w:szCs w:val="32"/>
        </w:rPr>
        <w:t>）《生态文明体制改革总体方案》</w:t>
      </w:r>
    </w:p>
    <w:p>
      <w:pPr>
        <w:pStyle w:val="14"/>
        <w:autoSpaceDN w:val="0"/>
        <w:adjustRightInd w:val="0"/>
        <w:snapToGrid w:val="0"/>
        <w:spacing w:line="590" w:lineRule="exact"/>
        <w:ind w:firstLine="640"/>
        <w:rPr>
          <w:rFonts w:ascii="Times New Roman" w:hAnsi="Times New Roman" w:eastAsia="仿宋_GB2312"/>
          <w:spacing w:val="4"/>
          <w:sz w:val="32"/>
          <w:szCs w:val="32"/>
        </w:rPr>
      </w:pPr>
      <w:r>
        <w:rPr>
          <w:rFonts w:ascii="Times New Roman" w:hAnsi="Times New Roman" w:eastAsia="仿宋_GB2312"/>
          <w:sz w:val="32"/>
          <w:szCs w:val="32"/>
        </w:rPr>
        <w:t>（</w:t>
      </w:r>
      <w:r>
        <w:rPr>
          <w:rFonts w:hint="eastAsia" w:ascii="Times New Roman" w:hAnsi="Times New Roman" w:eastAsia="仿宋_GB2312"/>
          <w:sz w:val="32"/>
          <w:szCs w:val="32"/>
        </w:rPr>
        <w:t>10</w:t>
      </w:r>
      <w:r>
        <w:rPr>
          <w:rFonts w:ascii="Times New Roman" w:hAnsi="Times New Roman" w:eastAsia="仿宋_GB2312"/>
          <w:sz w:val="32"/>
          <w:szCs w:val="32"/>
        </w:rPr>
        <w:t>）《</w:t>
      </w:r>
      <w:r>
        <w:rPr>
          <w:rFonts w:hint="eastAsia" w:ascii="Times New Roman" w:hAnsi="Times New Roman" w:eastAsia="仿宋_GB2312"/>
          <w:sz w:val="32"/>
          <w:szCs w:val="32"/>
        </w:rPr>
        <w:t>中共中央</w:t>
      </w:r>
      <w:r>
        <w:rPr>
          <w:rFonts w:ascii="Times New Roman" w:hAnsi="Times New Roman" w:eastAsia="仿宋_GB2312"/>
          <w:spacing w:val="4"/>
          <w:sz w:val="32"/>
          <w:szCs w:val="32"/>
        </w:rPr>
        <w:t>关于制定国民经济和社会发展第十三个五年规划的建议》</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1</w:t>
      </w:r>
      <w:r>
        <w:rPr>
          <w:rFonts w:ascii="Times New Roman" w:hAnsi="Times New Roman" w:eastAsia="仿宋_GB2312"/>
          <w:sz w:val="32"/>
          <w:szCs w:val="32"/>
        </w:rPr>
        <w:t>）《水污染防治行动计划》（国发〔2015〕17号）</w:t>
      </w:r>
    </w:p>
    <w:p>
      <w:pPr>
        <w:pStyle w:val="14"/>
        <w:autoSpaceDN w:val="0"/>
        <w:adjustRightInd w:val="0"/>
        <w:snapToGrid w:val="0"/>
        <w:spacing w:line="590" w:lineRule="exact"/>
        <w:ind w:firstLine="640"/>
        <w:rPr>
          <w:rFonts w:hint="eastAsia"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2</w:t>
      </w:r>
      <w:r>
        <w:rPr>
          <w:rFonts w:ascii="Times New Roman" w:hAnsi="Times New Roman" w:eastAsia="仿宋_GB2312"/>
          <w:sz w:val="32"/>
          <w:szCs w:val="32"/>
        </w:rPr>
        <w:t>）</w:t>
      </w:r>
      <w:r>
        <w:rPr>
          <w:rFonts w:hint="eastAsia" w:ascii="Times New Roman" w:hAnsi="Times New Roman" w:eastAsia="仿宋_GB2312"/>
          <w:sz w:val="32"/>
          <w:szCs w:val="32"/>
        </w:rPr>
        <w:t>《</w:t>
      </w:r>
      <w:r>
        <w:rPr>
          <w:rFonts w:ascii="Times New Roman" w:hAnsi="Times New Roman" w:eastAsia="仿宋_GB2312"/>
          <w:sz w:val="32"/>
          <w:szCs w:val="32"/>
        </w:rPr>
        <w:t>国家与河北省人民政府签订的水污染防治目标责任书</w:t>
      </w:r>
      <w:r>
        <w:rPr>
          <w:rFonts w:hint="eastAsia" w:ascii="Times New Roman" w:hAnsi="Times New Roman" w:eastAsia="仿宋_GB2312"/>
          <w:sz w:val="32"/>
          <w:szCs w:val="32"/>
        </w:rPr>
        <w:t>》</w:t>
      </w:r>
    </w:p>
    <w:p>
      <w:pPr>
        <w:pStyle w:val="14"/>
        <w:autoSpaceDN w:val="0"/>
        <w:adjustRightInd w:val="0"/>
        <w:snapToGrid w:val="0"/>
        <w:spacing w:line="590" w:lineRule="exact"/>
        <w:ind w:firstLine="640"/>
        <w:rPr>
          <w:rFonts w:hint="eastAsia"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3</w:t>
      </w:r>
      <w:r>
        <w:rPr>
          <w:rFonts w:ascii="Times New Roman" w:hAnsi="Times New Roman" w:eastAsia="仿宋_GB2312"/>
          <w:sz w:val="32"/>
          <w:szCs w:val="32"/>
        </w:rPr>
        <w:t>）《国务院关于加强环境保护重点工作的意见》（国发〔2011〕35号）</w:t>
      </w:r>
    </w:p>
    <w:p>
      <w:pPr>
        <w:pStyle w:val="14"/>
        <w:autoSpaceDN w:val="0"/>
        <w:adjustRightInd w:val="0"/>
        <w:snapToGrid w:val="0"/>
        <w:spacing w:line="590" w:lineRule="exact"/>
        <w:ind w:firstLine="640"/>
        <w:rPr>
          <w:rFonts w:ascii="Times New Roman" w:hAnsi="Times New Roman" w:eastAsia="仿宋_GB2312"/>
          <w:spacing w:val="-4"/>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4</w:t>
      </w:r>
      <w:r>
        <w:rPr>
          <w:rFonts w:ascii="Times New Roman" w:hAnsi="Times New Roman" w:eastAsia="仿宋_GB2312"/>
          <w:sz w:val="32"/>
          <w:szCs w:val="32"/>
        </w:rPr>
        <w:t>）</w:t>
      </w:r>
      <w:r>
        <w:rPr>
          <w:rFonts w:ascii="Times New Roman" w:hAnsi="Times New Roman" w:eastAsia="仿宋_GB2312"/>
          <w:spacing w:val="-4"/>
          <w:sz w:val="32"/>
          <w:szCs w:val="32"/>
        </w:rPr>
        <w:t>《</w:t>
      </w:r>
      <w:r>
        <w:rPr>
          <w:rFonts w:ascii="Times New Roman" w:hAnsi="Times New Roman" w:eastAsia="仿宋_GB2312"/>
          <w:spacing w:val="2"/>
          <w:sz w:val="32"/>
          <w:szCs w:val="32"/>
        </w:rPr>
        <w:t>国务院关于印发</w:t>
      </w:r>
      <w:r>
        <w:rPr>
          <w:rFonts w:hint="eastAsia" w:ascii="Times New Roman" w:hAnsi="Times New Roman" w:eastAsia="仿宋_GB2312"/>
          <w:spacing w:val="2"/>
          <w:sz w:val="32"/>
          <w:szCs w:val="32"/>
        </w:rPr>
        <w:t>&lt;</w:t>
      </w:r>
      <w:r>
        <w:rPr>
          <w:rFonts w:ascii="Times New Roman" w:hAnsi="Times New Roman" w:eastAsia="仿宋_GB2312"/>
          <w:spacing w:val="2"/>
          <w:sz w:val="32"/>
          <w:szCs w:val="32"/>
        </w:rPr>
        <w:t>“十二五”节能减排综合性工作方</w:t>
      </w:r>
      <w:r>
        <w:rPr>
          <w:rFonts w:ascii="Times New Roman" w:hAnsi="Times New Roman" w:eastAsia="仿宋_GB2312"/>
          <w:spacing w:val="-4"/>
          <w:sz w:val="32"/>
          <w:szCs w:val="32"/>
        </w:rPr>
        <w:t>案</w:t>
      </w:r>
      <w:r>
        <w:rPr>
          <w:rFonts w:hint="eastAsia" w:ascii="Times New Roman" w:hAnsi="Times New Roman" w:eastAsia="仿宋_GB2312"/>
          <w:spacing w:val="-4"/>
          <w:sz w:val="32"/>
          <w:szCs w:val="32"/>
        </w:rPr>
        <w:t>&gt;</w:t>
      </w:r>
      <w:r>
        <w:rPr>
          <w:rFonts w:ascii="Times New Roman" w:hAnsi="Times New Roman" w:eastAsia="仿宋_GB2312"/>
          <w:spacing w:val="-4"/>
          <w:sz w:val="32"/>
          <w:szCs w:val="32"/>
        </w:rPr>
        <w:t>的通知》（国发〔2011〕26号）</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5</w:t>
      </w:r>
      <w:r>
        <w:rPr>
          <w:rFonts w:ascii="Times New Roman" w:hAnsi="Times New Roman" w:eastAsia="仿宋_GB2312"/>
          <w:sz w:val="32"/>
          <w:szCs w:val="32"/>
        </w:rPr>
        <w:t>）《中共中央国务院关于加快水利改革发展的决定》（中发〔2011〕1号）</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6</w:t>
      </w:r>
      <w:r>
        <w:rPr>
          <w:rFonts w:ascii="Times New Roman" w:hAnsi="Times New Roman" w:eastAsia="仿宋_GB2312"/>
          <w:sz w:val="32"/>
          <w:szCs w:val="32"/>
        </w:rPr>
        <w:t>）《国务院关于实行最严格水资源管理制度的意见》（国发〔2012〕3号）</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7</w:t>
      </w:r>
      <w:r>
        <w:rPr>
          <w:rFonts w:ascii="Times New Roman" w:hAnsi="Times New Roman" w:eastAsia="仿宋_GB2312"/>
          <w:sz w:val="32"/>
          <w:szCs w:val="32"/>
        </w:rPr>
        <w:t>）《国务院关于落实科学发展观加强环境保护的决定》</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w:t>
      </w:r>
      <w:r>
        <w:rPr>
          <w:rFonts w:hint="eastAsia" w:ascii="Times New Roman" w:hAnsi="Times New Roman" w:eastAsia="仿宋_GB2312"/>
          <w:sz w:val="32"/>
          <w:szCs w:val="32"/>
        </w:rPr>
        <w:t>18</w:t>
      </w:r>
      <w:r>
        <w:rPr>
          <w:rFonts w:ascii="Times New Roman" w:hAnsi="Times New Roman" w:eastAsia="仿宋_GB2312"/>
          <w:sz w:val="32"/>
          <w:szCs w:val="32"/>
        </w:rPr>
        <w:t>）《中共中央国务院关于全面加强生态环境保护坚决打好污染防治攻坚战的意见》</w:t>
      </w:r>
    </w:p>
    <w:p>
      <w:pPr>
        <w:pStyle w:val="14"/>
        <w:autoSpaceDN w:val="0"/>
        <w:adjustRightInd w:val="0"/>
        <w:snapToGrid w:val="0"/>
        <w:spacing w:line="590" w:lineRule="exact"/>
        <w:ind w:firstLine="640"/>
        <w:rPr>
          <w:rFonts w:hint="eastAsia"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9</w:t>
      </w:r>
      <w:r>
        <w:rPr>
          <w:rFonts w:ascii="Times New Roman" w:hAnsi="Times New Roman" w:eastAsia="仿宋_GB2312"/>
          <w:sz w:val="32"/>
          <w:szCs w:val="32"/>
        </w:rPr>
        <w:t>）《</w:t>
      </w:r>
      <w:r>
        <w:rPr>
          <w:rFonts w:ascii="Times New Roman" w:hAnsi="Times New Roman" w:eastAsia="仿宋_GB2312"/>
          <w:spacing w:val="2"/>
          <w:sz w:val="32"/>
          <w:szCs w:val="32"/>
        </w:rPr>
        <w:t>生态环境部农业农村部关于印发&lt;农业农村污染治</w:t>
      </w:r>
      <w:r>
        <w:rPr>
          <w:rFonts w:ascii="Times New Roman" w:hAnsi="Times New Roman" w:eastAsia="仿宋_GB2312"/>
          <w:sz w:val="32"/>
          <w:szCs w:val="32"/>
        </w:rPr>
        <w:t>理攻坚战行动计划&gt;的通知》（环土壤〔2018〕143号）</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（20）《城市黑臭水体治理攻坚战作战方案》</w:t>
      </w:r>
    </w:p>
    <w:p>
      <w:pPr>
        <w:pStyle w:val="4"/>
        <w:spacing w:line="590" w:lineRule="exact"/>
        <w:ind w:firstLine="643"/>
      </w:pPr>
      <w:bookmarkStart w:id="7" w:name="_Toc467753390"/>
      <w:bookmarkStart w:id="8" w:name="_Toc23788284"/>
      <w:r>
        <w:t>1.2.2相关规划</w:t>
      </w:r>
      <w:bookmarkEnd w:id="7"/>
      <w:r>
        <w:t>、标准及方案</w:t>
      </w:r>
      <w:bookmarkEnd w:id="8"/>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河北省人民政府</w:t>
      </w:r>
      <w:r>
        <w:rPr>
          <w:rFonts w:eastAsia="仿宋_GB2312" w:cs="Times New Roman"/>
          <w:sz w:val="32"/>
          <w:szCs w:val="32"/>
        </w:rPr>
        <w:t>关于印发&lt;河北省水污染防治工作方案&gt;的通知》（冀发〔2015〕28号）</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（2）《河北省农村生活污水排放标准》（DB13/2171</w:t>
      </w:r>
      <w:r>
        <w:rPr>
          <w:rFonts w:hint="eastAsia" w:eastAsia="仿宋_GB2312" w:cs="Times New Roman"/>
          <w:sz w:val="32"/>
          <w:szCs w:val="32"/>
        </w:rPr>
        <w:t>—</w:t>
      </w:r>
      <w:r>
        <w:rPr>
          <w:rFonts w:eastAsia="仿宋_GB2312" w:cs="Times New Roman"/>
          <w:sz w:val="32"/>
          <w:szCs w:val="32"/>
        </w:rPr>
        <w:t>2015）</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（3）《河北省农村生活污水处理和垃圾处理实用技术指南》</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（4）《</w:t>
      </w:r>
      <w:r>
        <w:rPr>
          <w:rFonts w:eastAsia="仿宋_GB2312" w:cs="Times New Roman"/>
          <w:spacing w:val="2"/>
          <w:sz w:val="32"/>
          <w:szCs w:val="32"/>
        </w:rPr>
        <w:t>河北省人民政府关于印发&lt;河北省生态环境保护“十</w:t>
      </w:r>
      <w:r>
        <w:rPr>
          <w:rFonts w:eastAsia="仿宋_GB2312" w:cs="Times New Roman"/>
          <w:sz w:val="32"/>
          <w:szCs w:val="32"/>
        </w:rPr>
        <w:t>三五”规划&gt;的通知》（冀政字〔2017〕10号）</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（5）《</w:t>
      </w:r>
      <w:r>
        <w:rPr>
          <w:rFonts w:hint="eastAsia" w:eastAsia="仿宋_GB2312" w:cs="Times New Roman"/>
          <w:spacing w:val="2"/>
          <w:sz w:val="32"/>
          <w:szCs w:val="32"/>
        </w:rPr>
        <w:t>中共</w:t>
      </w:r>
      <w:r>
        <w:rPr>
          <w:rFonts w:eastAsia="仿宋_GB2312" w:cs="Times New Roman"/>
          <w:spacing w:val="2"/>
          <w:sz w:val="32"/>
          <w:szCs w:val="32"/>
        </w:rPr>
        <w:t>河北省委</w:t>
      </w:r>
      <w:r>
        <w:rPr>
          <w:rFonts w:hint="eastAsia" w:eastAsia="仿宋_GB2312" w:cs="Times New Roman"/>
          <w:spacing w:val="2"/>
          <w:sz w:val="32"/>
          <w:szCs w:val="32"/>
        </w:rPr>
        <w:t>河北</w:t>
      </w:r>
      <w:r>
        <w:rPr>
          <w:rFonts w:eastAsia="仿宋_GB2312" w:cs="Times New Roman"/>
          <w:spacing w:val="2"/>
          <w:sz w:val="32"/>
          <w:szCs w:val="32"/>
        </w:rPr>
        <w:t>省</w:t>
      </w:r>
      <w:r>
        <w:rPr>
          <w:rFonts w:hint="eastAsia" w:eastAsia="仿宋_GB2312" w:cs="Times New Roman"/>
          <w:spacing w:val="2"/>
          <w:sz w:val="32"/>
          <w:szCs w:val="32"/>
        </w:rPr>
        <w:t>人民</w:t>
      </w:r>
      <w:r>
        <w:rPr>
          <w:rFonts w:eastAsia="仿宋_GB2312" w:cs="Times New Roman"/>
          <w:spacing w:val="2"/>
          <w:sz w:val="32"/>
          <w:szCs w:val="32"/>
        </w:rPr>
        <w:t>政府关于全面加强生态环</w:t>
      </w:r>
      <w:r>
        <w:rPr>
          <w:rFonts w:eastAsia="仿宋_GB2312" w:cs="Times New Roman"/>
          <w:sz w:val="32"/>
          <w:szCs w:val="32"/>
        </w:rPr>
        <w:t>境保护坚决打好污染防治攻坚战的实施意见》</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（6）《河北省水污染防治工作领导小组办公室关于印发&lt;河北省碧水保卫战三年行动计划（2018</w:t>
      </w:r>
      <w:r>
        <w:rPr>
          <w:rFonts w:hint="eastAsia" w:eastAsia="仿宋_GB2312" w:cs="Times New Roman"/>
          <w:sz w:val="32"/>
          <w:szCs w:val="32"/>
        </w:rPr>
        <w:t>—</w:t>
      </w:r>
      <w:r>
        <w:rPr>
          <w:rFonts w:eastAsia="仿宋_GB2312" w:cs="Times New Roman"/>
          <w:sz w:val="32"/>
          <w:szCs w:val="32"/>
        </w:rPr>
        <w:t>2020年）&gt;的通知》（冀水领办〔2018〕123号）</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（7）《</w:t>
      </w:r>
      <w:r>
        <w:rPr>
          <w:rFonts w:hint="eastAsia" w:eastAsia="仿宋_GB2312" w:cs="Times New Roman"/>
          <w:spacing w:val="2"/>
          <w:sz w:val="32"/>
          <w:szCs w:val="32"/>
        </w:rPr>
        <w:t>河北省环境保护厅</w:t>
      </w:r>
      <w:r>
        <w:rPr>
          <w:rFonts w:eastAsia="仿宋_GB2312" w:cs="Times New Roman"/>
          <w:spacing w:val="2"/>
          <w:sz w:val="32"/>
          <w:szCs w:val="32"/>
        </w:rPr>
        <w:t>关于加快推进全省农村生活污水</w:t>
      </w:r>
      <w:r>
        <w:rPr>
          <w:rFonts w:eastAsia="仿宋_GB2312" w:cs="Times New Roman"/>
          <w:sz w:val="32"/>
          <w:szCs w:val="32"/>
        </w:rPr>
        <w:t>治理工作的通知》（冀环水〔2018〕301号）</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（8）《河北省农村人居环境整治三年行动实施方案（2018</w:t>
      </w:r>
      <w:r>
        <w:rPr>
          <w:rFonts w:hint="eastAsia" w:eastAsia="仿宋_GB2312" w:cs="Times New Roman"/>
          <w:sz w:val="32"/>
          <w:szCs w:val="32"/>
        </w:rPr>
        <w:t>—</w:t>
      </w:r>
      <w:r>
        <w:rPr>
          <w:rFonts w:eastAsia="仿宋_GB2312" w:cs="Times New Roman"/>
          <w:sz w:val="32"/>
          <w:szCs w:val="32"/>
        </w:rPr>
        <w:t>2020年）》（冀办发〔2018〕3号）</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（9）《河北省水污染防治工作领导小组办公室关于印发&lt;河北省农村生活污水治理行动计划&gt;的通知》</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（10）《</w:t>
      </w:r>
      <w:r>
        <w:rPr>
          <w:rFonts w:eastAsia="仿宋_GB2312" w:cs="Times New Roman"/>
          <w:spacing w:val="2"/>
          <w:sz w:val="32"/>
          <w:szCs w:val="32"/>
        </w:rPr>
        <w:t>河北省生态环境厅河北省农业农村厅关于印发&lt;河</w:t>
      </w:r>
      <w:r>
        <w:rPr>
          <w:rFonts w:eastAsia="仿宋_GB2312" w:cs="Times New Roman"/>
          <w:sz w:val="32"/>
          <w:szCs w:val="32"/>
        </w:rPr>
        <w:t>北省农业农村污染治理攻坚战实施方案&gt;的通知》</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（11）《廊坊市水污染防治工作实施方案》</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（12）《</w:t>
      </w:r>
      <w:r>
        <w:rPr>
          <w:rFonts w:hint="eastAsia" w:eastAsia="仿宋_GB2312" w:cs="Times New Roman"/>
          <w:spacing w:val="2"/>
          <w:sz w:val="32"/>
          <w:szCs w:val="32"/>
        </w:rPr>
        <w:t>廊坊市人民政府办公室</w:t>
      </w:r>
      <w:r>
        <w:rPr>
          <w:rFonts w:eastAsia="仿宋_GB2312" w:cs="Times New Roman"/>
          <w:spacing w:val="2"/>
          <w:sz w:val="32"/>
          <w:szCs w:val="32"/>
        </w:rPr>
        <w:t>关于印发&lt;廊坊市重点河流</w:t>
      </w:r>
      <w:r>
        <w:rPr>
          <w:rFonts w:eastAsia="仿宋_GB2312" w:cs="Times New Roman"/>
          <w:sz w:val="32"/>
          <w:szCs w:val="32"/>
        </w:rPr>
        <w:t xml:space="preserve">水质达标方案&gt;的通知》（廊政办〔2016〕76号） </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（13）《三河市“十三五”规划》</w:t>
      </w:r>
    </w:p>
    <w:p>
      <w:pPr>
        <w:pStyle w:val="3"/>
        <w:spacing w:line="590" w:lineRule="exact"/>
        <w:ind w:firstLine="643"/>
        <w:rPr>
          <w:rFonts w:eastAsia="楷体_GB2312"/>
        </w:rPr>
      </w:pPr>
      <w:bookmarkStart w:id="9" w:name="_Toc23788285"/>
      <w:r>
        <w:rPr>
          <w:rFonts w:eastAsia="楷体_GB2312"/>
        </w:rPr>
        <w:t>1.3指导思想</w:t>
      </w:r>
      <w:bookmarkEnd w:id="9"/>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以习近平新时代中国特色社会主义思想为指导，全面贯彻党的十九大和十九届二中、三中全会精神，深入贯彻习近平生态文明思想，坚决落实党中央、国务院决策部署和省委省政府关于污染防治攻坚战相关要求，以</w:t>
      </w:r>
      <w:r>
        <w:rPr>
          <w:rFonts w:ascii="Times New Roman" w:hAnsi="Times New Roman" w:eastAsia="仿宋"/>
          <w:sz w:val="32"/>
          <w:szCs w:val="32"/>
        </w:rPr>
        <w:t>泃</w:t>
      </w:r>
      <w:r>
        <w:rPr>
          <w:rFonts w:ascii="Times New Roman" w:hAnsi="Times New Roman" w:eastAsia="仿宋_GB2312"/>
          <w:sz w:val="32"/>
          <w:szCs w:val="32"/>
        </w:rPr>
        <w:t>河水生态环境质量改善为核心，统筹山水林田湖草系统治理，坚持污染防治与生态保护并重，推进水污染治理、水生态修复、水资源保护“三水共治”，强化污染源精细化管控，创新体制机制建设，落实党政各方责任，着力解决突出水生态环境问题，确保</w:t>
      </w:r>
      <w:r>
        <w:rPr>
          <w:rFonts w:ascii="Times New Roman" w:hAnsi="Times New Roman" w:eastAsia="仿宋"/>
          <w:sz w:val="32"/>
          <w:szCs w:val="32"/>
        </w:rPr>
        <w:t>泃</w:t>
      </w:r>
      <w:r>
        <w:rPr>
          <w:rFonts w:ascii="Times New Roman" w:hAnsi="Times New Roman" w:eastAsia="仿宋_GB2312"/>
          <w:sz w:val="32"/>
          <w:szCs w:val="32"/>
        </w:rPr>
        <w:t>河水生态环境质量持续改善，为京津冀协同发展提供有力的水生态环境支撑。</w:t>
      </w:r>
    </w:p>
    <w:p>
      <w:pPr>
        <w:pStyle w:val="3"/>
        <w:spacing w:line="590" w:lineRule="exact"/>
        <w:ind w:firstLine="643"/>
        <w:rPr>
          <w:rFonts w:eastAsia="楷体_GB2312"/>
        </w:rPr>
      </w:pPr>
      <w:bookmarkStart w:id="10" w:name="_Toc23788286"/>
      <w:r>
        <w:rPr>
          <w:rFonts w:eastAsia="楷体_GB2312"/>
        </w:rPr>
        <w:t>1.4工作范围和时限</w:t>
      </w:r>
      <w:bookmarkEnd w:id="10"/>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本方案工作范围主要包括廊坊市境内</w:t>
      </w:r>
      <w:r>
        <w:rPr>
          <w:rFonts w:eastAsia="仿宋" w:cs="Times New Roman"/>
          <w:sz w:val="32"/>
          <w:szCs w:val="32"/>
        </w:rPr>
        <w:t>泃</w:t>
      </w:r>
      <w:r>
        <w:rPr>
          <w:rFonts w:eastAsia="仿宋_GB2312" w:cs="Times New Roman"/>
          <w:sz w:val="32"/>
          <w:szCs w:val="32"/>
        </w:rPr>
        <w:t>河流域（以下简称</w:t>
      </w:r>
      <w:r>
        <w:rPr>
          <w:rFonts w:eastAsia="仿宋" w:cs="Times New Roman"/>
          <w:sz w:val="32"/>
          <w:szCs w:val="32"/>
        </w:rPr>
        <w:t>泃</w:t>
      </w:r>
      <w:r>
        <w:rPr>
          <w:rFonts w:eastAsia="仿宋_GB2312" w:cs="Times New Roman"/>
          <w:sz w:val="32"/>
          <w:szCs w:val="32"/>
        </w:rPr>
        <w:t>河流域），行政区域涉及廊坊市的三河市鼎盛街道、</w:t>
      </w:r>
      <w:r>
        <w:rPr>
          <w:rFonts w:eastAsia="仿宋" w:cs="Times New Roman"/>
          <w:sz w:val="32"/>
          <w:szCs w:val="32"/>
        </w:rPr>
        <w:t>泃</w:t>
      </w:r>
      <w:r>
        <w:rPr>
          <w:rFonts w:eastAsia="仿宋_GB2312" w:cs="Times New Roman"/>
          <w:sz w:val="32"/>
          <w:szCs w:val="32"/>
        </w:rPr>
        <w:t>阳街道、</w:t>
      </w:r>
      <w:r>
        <w:rPr>
          <w:rFonts w:eastAsia="仿宋" w:cs="Times New Roman"/>
          <w:sz w:val="32"/>
          <w:szCs w:val="32"/>
        </w:rPr>
        <w:t>泃</w:t>
      </w:r>
      <w:r>
        <w:rPr>
          <w:rFonts w:eastAsia="仿宋_GB2312" w:cs="Times New Roman"/>
          <w:sz w:val="32"/>
          <w:szCs w:val="32"/>
        </w:rPr>
        <w:t>阳镇、新集镇、皇庄镇、杨庄镇、段甲岭镇、黄土庄镇、李旗庄镇、齐心庄镇。</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本方案的实施年限为2019</w:t>
      </w:r>
      <w:r>
        <w:rPr>
          <w:rFonts w:hint="eastAsia" w:eastAsia="仿宋_GB2312" w:cs="Times New Roman"/>
          <w:sz w:val="32"/>
          <w:szCs w:val="32"/>
        </w:rPr>
        <w:t>—</w:t>
      </w:r>
      <w:r>
        <w:rPr>
          <w:rFonts w:eastAsia="仿宋_GB2312" w:cs="Times New Roman"/>
          <w:sz w:val="32"/>
          <w:szCs w:val="32"/>
        </w:rPr>
        <w:t>2020年。</w:t>
      </w:r>
    </w:p>
    <w:p>
      <w:pPr>
        <w:pStyle w:val="3"/>
        <w:spacing w:line="590" w:lineRule="exact"/>
        <w:ind w:firstLine="643"/>
        <w:rPr>
          <w:rFonts w:eastAsia="楷体_GB2312"/>
        </w:rPr>
      </w:pPr>
      <w:bookmarkStart w:id="11" w:name="_Toc23788287"/>
      <w:r>
        <w:rPr>
          <w:rFonts w:eastAsia="楷体_GB2312"/>
        </w:rPr>
        <w:t>1.5治理目标</w:t>
      </w:r>
      <w:bookmarkEnd w:id="11"/>
    </w:p>
    <w:p>
      <w:pPr>
        <w:pStyle w:val="14"/>
        <w:autoSpaceDN w:val="0"/>
        <w:adjustRightInd w:val="0"/>
        <w:snapToGrid w:val="0"/>
        <w:spacing w:line="590" w:lineRule="exact"/>
        <w:ind w:firstLine="640"/>
        <w:rPr>
          <w:rFonts w:ascii="Times New Roman" w:hAnsi="Times New Roman" w:eastAsia="仿宋_GB2312"/>
          <w:color w:val="000000"/>
          <w:sz w:val="32"/>
          <w:szCs w:val="32"/>
        </w:rPr>
      </w:pPr>
      <w:r>
        <w:rPr>
          <w:rFonts w:ascii="Times New Roman" w:hAnsi="Times New Roman" w:eastAsia="仿宋_GB2312"/>
          <w:sz w:val="32"/>
          <w:szCs w:val="32"/>
        </w:rPr>
        <w:t>本方案的修订旨在提升市区生活污水高标准治理水平，提高农村分散式污水收集处理能力</w:t>
      </w:r>
      <w:r>
        <w:rPr>
          <w:rFonts w:ascii="Times New Roman" w:hAnsi="Times New Roman" w:eastAsia="仿宋_GB2312"/>
          <w:color w:val="000000"/>
          <w:sz w:val="32"/>
          <w:szCs w:val="32"/>
        </w:rPr>
        <w:t>，严格控制污染物直接入河，解决市区段及支流的黑臭问题，防控下游河段藻类爆发问题，全面改善和修复</w:t>
      </w:r>
      <w:r>
        <w:rPr>
          <w:rFonts w:ascii="Times New Roman" w:hAnsi="Times New Roman" w:eastAsia="仿宋"/>
          <w:color w:val="000000"/>
          <w:sz w:val="32"/>
          <w:szCs w:val="32"/>
        </w:rPr>
        <w:t>泃</w:t>
      </w:r>
      <w:r>
        <w:rPr>
          <w:rFonts w:ascii="Times New Roman" w:hAnsi="Times New Roman" w:eastAsia="仿宋_GB2312"/>
          <w:color w:val="000000"/>
          <w:sz w:val="32"/>
          <w:szCs w:val="32"/>
        </w:rPr>
        <w:t>河水生态环境，逐步提升三河市居民生活质量，提升城市品位。</w:t>
      </w:r>
    </w:p>
    <w:p>
      <w:pPr>
        <w:pStyle w:val="14"/>
        <w:autoSpaceDN w:val="0"/>
        <w:adjustRightInd w:val="0"/>
        <w:snapToGrid w:val="0"/>
        <w:spacing w:line="590" w:lineRule="exact"/>
        <w:ind w:firstLine="640"/>
        <w:rPr>
          <w:rFonts w:ascii="Times New Roman" w:hAnsi="Times New Roman" w:eastAsia="仿宋_GB2312"/>
          <w:color w:val="000000"/>
          <w:sz w:val="32"/>
          <w:szCs w:val="32"/>
        </w:rPr>
      </w:pPr>
      <w:r>
        <w:rPr>
          <w:rFonts w:ascii="Times New Roman" w:hAnsi="Times New Roman" w:eastAsia="仿宋_GB2312"/>
          <w:color w:val="000000"/>
          <w:sz w:val="32"/>
          <w:szCs w:val="32"/>
        </w:rPr>
        <w:t>具体指标包括：到2019年底，三河东大桥断面稳定达到V类；到2020年底，三河东大桥断面保持或优于V类。</w:t>
      </w:r>
    </w:p>
    <w:p>
      <w:pPr>
        <w:pStyle w:val="3"/>
        <w:spacing w:line="590" w:lineRule="exact"/>
        <w:ind w:firstLine="643"/>
        <w:rPr>
          <w:rFonts w:eastAsia="楷体_GB2312"/>
        </w:rPr>
      </w:pPr>
      <w:bookmarkStart w:id="12" w:name="_Toc23788288"/>
      <w:r>
        <w:rPr>
          <w:rFonts w:eastAsia="楷体_GB2312"/>
        </w:rPr>
        <w:t>1.6治理思路</w:t>
      </w:r>
      <w:bookmarkEnd w:id="12"/>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以</w:t>
      </w:r>
      <w:r>
        <w:rPr>
          <w:rFonts w:eastAsia="仿宋" w:cs="Times New Roman"/>
          <w:sz w:val="32"/>
          <w:szCs w:val="32"/>
        </w:rPr>
        <w:t>泃</w:t>
      </w:r>
      <w:r>
        <w:rPr>
          <w:rFonts w:eastAsia="仿宋_GB2312" w:cs="Times New Roman"/>
          <w:sz w:val="32"/>
          <w:szCs w:val="32"/>
        </w:rPr>
        <w:t>河水生态环境质量改善为核心，完善治污基础设施建设，夯实水生态环境精细化管理技术支撑。以补齐市区段城镇生活污染治理、沿河农村生活和垃圾污染治理短板为重点，强化污染源治理与精细化管控；加快推进河道综合治理与生态修复，兼顾下游河段藻类防控处置与综合管控，提高水体自净能力，控制水华发生；加强区域协调联动控制，优化水资源调度，保障</w:t>
      </w:r>
      <w:r>
        <w:rPr>
          <w:rFonts w:eastAsia="仿宋" w:cs="Times New Roman"/>
          <w:sz w:val="32"/>
          <w:szCs w:val="32"/>
        </w:rPr>
        <w:t>泃</w:t>
      </w:r>
      <w:r>
        <w:rPr>
          <w:rFonts w:eastAsia="仿宋_GB2312" w:cs="Times New Roman"/>
          <w:sz w:val="32"/>
          <w:szCs w:val="32"/>
        </w:rPr>
        <w:t>河活水循环。</w:t>
      </w:r>
    </w:p>
    <w:p>
      <w:pPr>
        <w:pStyle w:val="2"/>
        <w:spacing w:line="590" w:lineRule="exact"/>
        <w:ind w:firstLine="640"/>
      </w:pPr>
      <w:bookmarkStart w:id="13" w:name="_Toc23788289"/>
      <w:bookmarkStart w:id="14" w:name="_Toc467753391"/>
      <w:r>
        <w:rPr>
          <w:rFonts w:hAnsi="黑体"/>
        </w:rPr>
        <w:t>二、流域概况</w:t>
      </w:r>
      <w:bookmarkEnd w:id="13"/>
      <w:bookmarkEnd w:id="14"/>
    </w:p>
    <w:p>
      <w:pPr>
        <w:pStyle w:val="3"/>
        <w:spacing w:line="590" w:lineRule="exact"/>
        <w:ind w:firstLine="643"/>
        <w:rPr>
          <w:rFonts w:eastAsia="楷体_GB2312"/>
        </w:rPr>
      </w:pPr>
      <w:bookmarkStart w:id="15" w:name="_Toc467753392"/>
      <w:bookmarkStart w:id="16" w:name="_Toc23788290"/>
      <w:r>
        <w:rPr>
          <w:rFonts w:eastAsia="楷体_GB2312"/>
        </w:rPr>
        <w:t>2.1区位概况</w:t>
      </w:r>
      <w:bookmarkEnd w:id="15"/>
      <w:bookmarkEnd w:id="16"/>
    </w:p>
    <w:p>
      <w:pPr>
        <w:pStyle w:val="14"/>
        <w:autoSpaceDN w:val="0"/>
        <w:adjustRightInd w:val="0"/>
        <w:snapToGrid w:val="0"/>
        <w:spacing w:line="590" w:lineRule="exact"/>
        <w:ind w:firstLine="608"/>
        <w:rPr>
          <w:rFonts w:ascii="Times New Roman" w:hAnsi="Times New Roman" w:eastAsia="仿宋_GB2312"/>
          <w:spacing w:val="-8"/>
          <w:sz w:val="32"/>
          <w:szCs w:val="32"/>
        </w:rPr>
      </w:pPr>
      <w:r>
        <w:rPr>
          <w:rFonts w:ascii="Times New Roman" w:hAnsi="Times New Roman" w:eastAsia="仿宋_GB2312"/>
          <w:spacing w:val="-8"/>
          <w:sz w:val="32"/>
          <w:szCs w:val="32"/>
        </w:rPr>
        <w:t>三河市是河北省廊坊市代管县级市，地处京、津交界地带，与北京仅一河之隔，是中国占地面积最大、行政级别最高的县级飞地。</w:t>
      </w:r>
    </w:p>
    <w:p>
      <w:pPr>
        <w:pStyle w:val="14"/>
        <w:autoSpaceDN w:val="0"/>
        <w:adjustRightInd w:val="0"/>
        <w:snapToGrid w:val="0"/>
        <w:spacing w:line="590" w:lineRule="exact"/>
        <w:ind w:firstLine="616"/>
        <w:rPr>
          <w:rFonts w:ascii="Times New Roman" w:hAnsi="Times New Roman" w:eastAsia="仿宋_GB2312"/>
          <w:spacing w:val="-6"/>
          <w:sz w:val="32"/>
          <w:szCs w:val="32"/>
        </w:rPr>
      </w:pPr>
      <w:r>
        <w:rPr>
          <w:rFonts w:ascii="Times New Roman" w:hAnsi="Times New Roman" w:eastAsia="仿宋_GB2312"/>
          <w:spacing w:val="-6"/>
          <w:sz w:val="32"/>
          <w:szCs w:val="32"/>
        </w:rPr>
        <w:t>三河市地处河北省中北部，处于北纬39°48'至40°05'、东经116°45'至117°15'，位于</w:t>
      </w:r>
      <w:r>
        <w:rPr>
          <w:rFonts w:ascii="Times New Roman" w:hAnsi="Times New Roman" w:eastAsia="仿宋_GB2312"/>
          <w:spacing w:val="-6"/>
        </w:rPr>
        <w:fldChar w:fldCharType="begin"/>
      </w:r>
      <w:r>
        <w:rPr>
          <w:rFonts w:ascii="Times New Roman" w:hAnsi="Times New Roman" w:eastAsia="仿宋_GB2312"/>
          <w:spacing w:val="-6"/>
        </w:rPr>
        <w:instrText xml:space="preserve"> HYPERLINK "http://baike.so.com/doc/2510451.html" </w:instrText>
      </w:r>
      <w:r>
        <w:rPr>
          <w:rFonts w:ascii="Times New Roman" w:hAnsi="Times New Roman" w:eastAsia="仿宋_GB2312"/>
          <w:spacing w:val="-6"/>
        </w:rPr>
        <w:fldChar w:fldCharType="separate"/>
      </w:r>
      <w:r>
        <w:rPr>
          <w:rStyle w:val="11"/>
          <w:rFonts w:ascii="Times New Roman" w:hAnsi="Times New Roman" w:eastAsia="仿宋_GB2312"/>
          <w:color w:val="auto"/>
          <w:spacing w:val="-6"/>
          <w:sz w:val="32"/>
          <w:szCs w:val="32"/>
          <w:u w:val="none"/>
        </w:rPr>
        <w:t>北京</w:t>
      </w:r>
      <w:r>
        <w:rPr>
          <w:rFonts w:ascii="Times New Roman" w:hAnsi="Times New Roman" w:eastAsia="仿宋_GB2312"/>
          <w:spacing w:val="-6"/>
        </w:rPr>
        <w:fldChar w:fldCharType="end"/>
      </w:r>
      <w:r>
        <w:rPr>
          <w:rFonts w:ascii="Times New Roman" w:hAnsi="Times New Roman" w:eastAsia="仿宋_GB2312"/>
          <w:spacing w:val="-6"/>
          <w:sz w:val="32"/>
          <w:szCs w:val="32"/>
        </w:rPr>
        <w:t>市和</w:t>
      </w:r>
      <w:r>
        <w:rPr>
          <w:rFonts w:ascii="Times New Roman" w:hAnsi="Times New Roman" w:eastAsia="仿宋_GB2312"/>
          <w:spacing w:val="-6"/>
        </w:rPr>
        <w:fldChar w:fldCharType="begin"/>
      </w:r>
      <w:r>
        <w:rPr>
          <w:rFonts w:ascii="Times New Roman" w:hAnsi="Times New Roman" w:eastAsia="仿宋_GB2312"/>
          <w:spacing w:val="-6"/>
        </w:rPr>
        <w:instrText xml:space="preserve"> HYPERLINK "http://baike.so.com/doc/2794711.html" </w:instrText>
      </w:r>
      <w:r>
        <w:rPr>
          <w:rFonts w:ascii="Times New Roman" w:hAnsi="Times New Roman" w:eastAsia="仿宋_GB2312"/>
          <w:spacing w:val="-6"/>
        </w:rPr>
        <w:fldChar w:fldCharType="separate"/>
      </w:r>
      <w:r>
        <w:rPr>
          <w:rStyle w:val="12"/>
          <w:rFonts w:ascii="Times New Roman" w:hAnsi="Times New Roman" w:eastAsia="仿宋_GB2312"/>
          <w:color w:val="auto"/>
          <w:spacing w:val="-6"/>
          <w:sz w:val="32"/>
          <w:szCs w:val="32"/>
          <w:u w:val="none"/>
        </w:rPr>
        <w:t>天津</w:t>
      </w:r>
      <w:r>
        <w:rPr>
          <w:rFonts w:ascii="Times New Roman" w:hAnsi="Times New Roman" w:eastAsia="仿宋_GB2312"/>
          <w:spacing w:val="-6"/>
        </w:rPr>
        <w:fldChar w:fldCharType="end"/>
      </w:r>
      <w:r>
        <w:rPr>
          <w:rFonts w:ascii="Times New Roman" w:hAnsi="Times New Roman" w:eastAsia="仿宋_GB2312"/>
          <w:spacing w:val="-6"/>
          <w:sz w:val="32"/>
          <w:szCs w:val="32"/>
        </w:rPr>
        <w:t>市两大直辖市之间，境东与天津市蓟州区交界，北与北京市平谷区接壤，西北与北京市顺义区为邻，西隔潮白河与北京市通州区相望，西南与大厂</w:t>
      </w:r>
      <w:r>
        <w:rPr>
          <w:rFonts w:ascii="Times New Roman" w:hAnsi="Times New Roman" w:eastAsia="仿宋_GB2312"/>
          <w:spacing w:val="-6"/>
        </w:rPr>
        <w:fldChar w:fldCharType="begin"/>
      </w:r>
      <w:r>
        <w:rPr>
          <w:rFonts w:ascii="Times New Roman" w:hAnsi="Times New Roman" w:eastAsia="仿宋_GB2312"/>
          <w:spacing w:val="-6"/>
        </w:rPr>
        <w:instrText xml:space="preserve"> HYPERLINK "http://baike.so.com/doc/2620102.html" </w:instrText>
      </w:r>
      <w:r>
        <w:rPr>
          <w:rFonts w:ascii="Times New Roman" w:hAnsi="Times New Roman" w:eastAsia="仿宋_GB2312"/>
          <w:spacing w:val="-6"/>
        </w:rPr>
        <w:fldChar w:fldCharType="separate"/>
      </w:r>
      <w:r>
        <w:rPr>
          <w:rStyle w:val="12"/>
          <w:rFonts w:ascii="Times New Roman" w:hAnsi="Times New Roman" w:eastAsia="仿宋_GB2312"/>
          <w:color w:val="auto"/>
          <w:spacing w:val="-6"/>
          <w:sz w:val="32"/>
          <w:szCs w:val="32"/>
          <w:u w:val="none"/>
        </w:rPr>
        <w:t>回族</w:t>
      </w:r>
      <w:r>
        <w:rPr>
          <w:rFonts w:ascii="Times New Roman" w:hAnsi="Times New Roman" w:eastAsia="仿宋_GB2312"/>
          <w:spacing w:val="-6"/>
        </w:rPr>
        <w:fldChar w:fldCharType="end"/>
      </w:r>
      <w:r>
        <w:rPr>
          <w:rFonts w:ascii="Times New Roman" w:hAnsi="Times New Roman" w:eastAsia="仿宋_GB2312"/>
          <w:spacing w:val="-6"/>
          <w:sz w:val="32"/>
          <w:szCs w:val="32"/>
        </w:rPr>
        <w:t>自治县毗邻，南与香河县接壤，东南与天津市宝坻县相邻，被誉为“京东明珠”。</w:t>
      </w:r>
    </w:p>
    <w:p>
      <w:pPr>
        <w:pStyle w:val="3"/>
        <w:spacing w:line="590" w:lineRule="exact"/>
        <w:ind w:firstLine="643"/>
        <w:rPr>
          <w:rFonts w:eastAsia="楷体_GB2312"/>
        </w:rPr>
      </w:pPr>
      <w:bookmarkStart w:id="17" w:name="_Toc23788291"/>
      <w:bookmarkStart w:id="18" w:name="_Toc467753393"/>
      <w:r>
        <w:rPr>
          <w:rFonts w:eastAsia="楷体_GB2312"/>
        </w:rPr>
        <w:t>2.2自然概况</w:t>
      </w:r>
      <w:bookmarkEnd w:id="17"/>
      <w:bookmarkEnd w:id="18"/>
    </w:p>
    <w:p>
      <w:pPr>
        <w:pStyle w:val="4"/>
        <w:spacing w:line="590" w:lineRule="exact"/>
        <w:ind w:firstLine="643"/>
      </w:pPr>
      <w:bookmarkStart w:id="19" w:name="_Toc23788292"/>
      <w:bookmarkStart w:id="20" w:name="_Toc467753394"/>
      <w:r>
        <w:t>2.2.1地形与地貌</w:t>
      </w:r>
      <w:bookmarkEnd w:id="19"/>
      <w:bookmarkEnd w:id="20"/>
    </w:p>
    <w:p>
      <w:pPr>
        <w:autoSpaceDN w:val="0"/>
        <w:adjustRightInd w:val="0"/>
        <w:snapToGrid w:val="0"/>
        <w:spacing w:line="590" w:lineRule="exact"/>
        <w:ind w:firstLine="640"/>
        <w:rPr>
          <w:rFonts w:eastAsia="仿宋_GB2312" w:cs="Times New Roman"/>
          <w:b/>
          <w:bCs/>
          <w:sz w:val="32"/>
          <w:szCs w:val="32"/>
        </w:rPr>
      </w:pPr>
      <w:r>
        <w:rPr>
          <w:rFonts w:eastAsia="仿宋_GB2312" w:cs="Times New Roman"/>
          <w:sz w:val="32"/>
          <w:szCs w:val="32"/>
        </w:rPr>
        <w:t>三河市地处燕山山前平原地区，总的地势北高南低，自北向南倾斜，按</w:t>
      </w:r>
      <w:r>
        <w:rPr>
          <w:rFonts w:eastAsia="仿宋_GB2312" w:cs="Times New Roman"/>
        </w:rPr>
        <w:fldChar w:fldCharType="begin"/>
      </w:r>
      <w:r>
        <w:rPr>
          <w:rFonts w:eastAsia="仿宋_GB2312" w:cs="Times New Roman"/>
        </w:rPr>
        <w:instrText xml:space="preserve"> HYPERLINK "http://baike.so.com/doc/1360047-1437776.html" </w:instrText>
      </w:r>
      <w:r>
        <w:rPr>
          <w:rFonts w:eastAsia="仿宋_GB2312" w:cs="Times New Roman"/>
        </w:rPr>
        <w:fldChar w:fldCharType="separate"/>
      </w:r>
      <w:r>
        <w:rPr>
          <w:rStyle w:val="12"/>
          <w:rFonts w:eastAsia="仿宋_GB2312" w:cs="Times New Roman"/>
          <w:color w:val="auto"/>
          <w:sz w:val="32"/>
          <w:szCs w:val="32"/>
          <w:u w:val="none"/>
        </w:rPr>
        <w:t>地形地貌</w:t>
      </w:r>
      <w:r>
        <w:rPr>
          <w:rFonts w:eastAsia="仿宋_GB2312" w:cs="Times New Roman"/>
        </w:rPr>
        <w:fldChar w:fldCharType="end"/>
      </w:r>
      <w:r>
        <w:rPr>
          <w:rFonts w:eastAsia="仿宋_GB2312" w:cs="Times New Roman"/>
          <w:sz w:val="32"/>
          <w:szCs w:val="32"/>
        </w:rPr>
        <w:t>特点，可分为低山丘陵，平原和洼地。其中平原面积最大，</w:t>
      </w:r>
      <w:r>
        <w:rPr>
          <w:rFonts w:eastAsia="仿宋_GB2312" w:cs="Times New Roman"/>
          <w:color w:val="000000"/>
          <w:sz w:val="32"/>
          <w:szCs w:val="32"/>
        </w:rPr>
        <w:t>主要由潮白河、</w:t>
      </w:r>
      <w:r>
        <w:rPr>
          <w:rFonts w:eastAsia="仿宋_GB2312" w:cs="Times New Roman"/>
        </w:rPr>
        <w:fldChar w:fldCharType="begin"/>
      </w:r>
      <w:r>
        <w:rPr>
          <w:rFonts w:eastAsia="仿宋_GB2312" w:cs="Times New Roman"/>
        </w:rPr>
        <w:instrText xml:space="preserve"> HYPERLINK "http://baike.so.com/doc/6033943-6246946.html" </w:instrText>
      </w:r>
      <w:r>
        <w:rPr>
          <w:rFonts w:eastAsia="仿宋_GB2312" w:cs="Times New Roman"/>
        </w:rPr>
        <w:fldChar w:fldCharType="separate"/>
      </w:r>
      <w:r>
        <w:rPr>
          <w:rStyle w:val="12"/>
          <w:rFonts w:eastAsia="仿宋_GB2312" w:cs="Times New Roman"/>
          <w:color w:val="000000"/>
          <w:sz w:val="32"/>
          <w:szCs w:val="32"/>
          <w:u w:val="none"/>
        </w:rPr>
        <w:t>蓟运河</w:t>
      </w:r>
      <w:r>
        <w:rPr>
          <w:rFonts w:eastAsia="仿宋_GB2312" w:cs="Times New Roman"/>
        </w:rPr>
        <w:fldChar w:fldCharType="end"/>
      </w:r>
      <w:r>
        <w:rPr>
          <w:rFonts w:eastAsia="仿宋_GB2312" w:cs="Times New Roman"/>
          <w:color w:val="000000"/>
          <w:sz w:val="32"/>
          <w:szCs w:val="32"/>
        </w:rPr>
        <w:t>冲洪积扇构成，</w:t>
      </w:r>
      <w:r>
        <w:rPr>
          <w:rFonts w:eastAsia="仿宋_GB2312" w:cs="Times New Roman"/>
          <w:sz w:val="32"/>
          <w:szCs w:val="32"/>
        </w:rPr>
        <w:t>平均海拔高程5.9～31.9米（</w:t>
      </w:r>
      <w:r>
        <w:rPr>
          <w:rFonts w:eastAsia="仿宋_GB2312" w:cs="Times New Roman"/>
        </w:rPr>
        <w:fldChar w:fldCharType="begin"/>
      </w:r>
      <w:r>
        <w:rPr>
          <w:rFonts w:eastAsia="仿宋_GB2312" w:cs="Times New Roman"/>
        </w:rPr>
        <w:instrText xml:space="preserve"> HYPERLINK "http://baike.so.com/doc/4392004-4598651.html" </w:instrText>
      </w:r>
      <w:r>
        <w:rPr>
          <w:rFonts w:eastAsia="仿宋_GB2312" w:cs="Times New Roman"/>
        </w:rPr>
        <w:fldChar w:fldCharType="separate"/>
      </w:r>
      <w:r>
        <w:rPr>
          <w:rStyle w:val="12"/>
          <w:rFonts w:eastAsia="仿宋_GB2312" w:cs="Times New Roman"/>
          <w:color w:val="auto"/>
          <w:sz w:val="32"/>
          <w:szCs w:val="32"/>
          <w:u w:val="none"/>
        </w:rPr>
        <w:t>黄海标高</w:t>
      </w:r>
      <w:r>
        <w:rPr>
          <w:rFonts w:eastAsia="仿宋_GB2312" w:cs="Times New Roman"/>
        </w:rPr>
        <w:fldChar w:fldCharType="end"/>
      </w:r>
      <w:r>
        <w:rPr>
          <w:rFonts w:eastAsia="仿宋_GB2312" w:cs="Times New Roman"/>
          <w:sz w:val="32"/>
          <w:szCs w:val="32"/>
        </w:rPr>
        <w:t>），地面自然纵坡1/1500左右，低山丘陵主要分布在本市东北部的蒋福山地区。该区域</w:t>
      </w:r>
      <w:r>
        <w:rPr>
          <w:rFonts w:eastAsia="仿宋_GB2312" w:cs="Times New Roman"/>
        </w:rPr>
        <w:fldChar w:fldCharType="begin"/>
      </w:r>
      <w:r>
        <w:rPr>
          <w:rFonts w:eastAsia="仿宋_GB2312" w:cs="Times New Roman"/>
        </w:rPr>
        <w:instrText xml:space="preserve"> HYPERLINK "http://baike.so.com/doc/4103732-4302787.html" </w:instrText>
      </w:r>
      <w:r>
        <w:rPr>
          <w:rFonts w:eastAsia="仿宋_GB2312" w:cs="Times New Roman"/>
        </w:rPr>
        <w:fldChar w:fldCharType="separate"/>
      </w:r>
      <w:r>
        <w:rPr>
          <w:rStyle w:val="12"/>
          <w:rFonts w:eastAsia="仿宋_GB2312" w:cs="Times New Roman"/>
          <w:color w:val="auto"/>
          <w:sz w:val="32"/>
          <w:szCs w:val="32"/>
          <w:u w:val="none"/>
        </w:rPr>
        <w:t>周缘</w:t>
      </w:r>
      <w:r>
        <w:rPr>
          <w:rFonts w:eastAsia="仿宋_GB2312" w:cs="Times New Roman"/>
        </w:rPr>
        <w:fldChar w:fldCharType="end"/>
      </w:r>
      <w:r>
        <w:rPr>
          <w:rFonts w:eastAsia="仿宋_GB2312" w:cs="Times New Roman"/>
          <w:sz w:val="32"/>
          <w:szCs w:val="32"/>
        </w:rPr>
        <w:t>为海拔335.2～458.5米的龙门山和青龙山，中间为海拔200～212米的蒋福山盆地，此外在三河市西北部还有一海拔90.4米的孤山挺立于倾斜平原上，洼地主要分布在三河市东南部的引</w:t>
      </w:r>
      <w:r>
        <w:rPr>
          <w:rFonts w:eastAsia="仿宋" w:cs="Times New Roman"/>
          <w:sz w:val="32"/>
          <w:szCs w:val="32"/>
        </w:rPr>
        <w:t>泃</w:t>
      </w:r>
      <w:r>
        <w:rPr>
          <w:rFonts w:eastAsia="仿宋_GB2312" w:cs="Times New Roman"/>
          <w:sz w:val="32"/>
          <w:szCs w:val="32"/>
        </w:rPr>
        <w:t>入潮与鲍邱河、潮白河两岸，地势低平，多积水洼地。</w:t>
      </w:r>
    </w:p>
    <w:p>
      <w:pPr>
        <w:autoSpaceDN w:val="0"/>
        <w:adjustRightInd w:val="0"/>
        <w:snapToGrid w:val="0"/>
        <w:spacing w:line="590" w:lineRule="exact"/>
        <w:ind w:firstLine="640"/>
        <w:rPr>
          <w:rFonts w:eastAsia="仿宋_GB2312" w:cs="Times New Roman"/>
          <w:b/>
          <w:bCs/>
          <w:sz w:val="32"/>
          <w:szCs w:val="32"/>
        </w:rPr>
      </w:pPr>
      <w:r>
        <w:rPr>
          <w:rFonts w:eastAsia="仿宋_GB2312" w:cs="Times New Roman"/>
          <w:sz w:val="32"/>
          <w:szCs w:val="32"/>
        </w:rPr>
        <w:t>地貌类型有以下五种：</w:t>
      </w:r>
    </w:p>
    <w:p>
      <w:pPr>
        <w:autoSpaceDN w:val="0"/>
        <w:adjustRightInd w:val="0"/>
        <w:snapToGrid w:val="0"/>
        <w:spacing w:line="590" w:lineRule="exact"/>
        <w:ind w:firstLine="640"/>
        <w:rPr>
          <w:rFonts w:eastAsia="仿宋_GB2312" w:cs="Times New Roman"/>
          <w:b/>
          <w:bCs/>
          <w:sz w:val="32"/>
          <w:szCs w:val="32"/>
        </w:rPr>
      </w:pPr>
      <w:r>
        <w:rPr>
          <w:rFonts w:eastAsia="仿宋_GB2312" w:cs="Times New Roman"/>
          <w:sz w:val="32"/>
          <w:szCs w:val="32"/>
        </w:rPr>
        <w:t>一是侵蚀剥蚀低山丘陵岗坡。山地最高点为龙门山，海拔458.5米，相对高度150米左右。山地主要由倾角不大的震旦系石</w:t>
      </w:r>
      <w:r>
        <w:rPr>
          <w:rFonts w:eastAsia="仿宋_GB2312" w:cs="Times New Roman"/>
          <w:color w:val="000000"/>
          <w:sz w:val="32"/>
          <w:szCs w:val="32"/>
        </w:rPr>
        <w:t>灰岩和白云岩</w:t>
      </w:r>
      <w:r>
        <w:rPr>
          <w:rFonts w:eastAsia="仿宋_GB2312" w:cs="Times New Roman"/>
          <w:sz w:val="32"/>
          <w:szCs w:val="32"/>
        </w:rPr>
        <w:t>地层构成，经过侵蚀剥蚀而形成馒头山和单石山地形。由于第四纪以来的强烈构造上升运动，地形切割剧裂，形成陡峻的山坡“V”形的山谷，沟谷中堆积物极少，侵蚀能力较强，形成宽缓的山梁和起伏不大的平台高地，可见明显的水土流失。而修筑梯田、沟壁防护好的，则水土流失较轻。</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二是山前盆地。主要指蒋福山公社为中心的四周环山的山间盆地，海拔标高200</w:t>
      </w:r>
      <w:r>
        <w:rPr>
          <w:rFonts w:hint="eastAsia" w:ascii="仿宋_GB2312" w:eastAsia="仿宋_GB2312" w:cs="Times New Roman"/>
          <w:sz w:val="32"/>
          <w:szCs w:val="32"/>
        </w:rPr>
        <w:t>～</w:t>
      </w:r>
      <w:r>
        <w:rPr>
          <w:rFonts w:eastAsia="仿宋_GB2312" w:cs="Times New Roman"/>
          <w:sz w:val="32"/>
          <w:szCs w:val="32"/>
        </w:rPr>
        <w:t>212米，盆地中的地势南高北低在西北部形成一个积水小夹淀，雨季积水成灾，近年来已修了一个排水闸洞，基本免于涝灾。</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三是冲积扇及山麓平原。此区主要是山前向冲积平原的过渡地带，分布在京哈和灵高公路两侧的广阔地带。根据山前物质的沉积规律、地形形态和水文地质特点，分为扇形平原的上、中、下及扇缘等区。冲积扇上、中部坡降为1比300左右，由北向南倾斜，其扇缘达到皇庄</w:t>
      </w:r>
      <w:r>
        <w:rPr>
          <w:rFonts w:hint="eastAsia" w:eastAsia="仿宋_GB2312" w:cs="Times New Roman"/>
          <w:sz w:val="32"/>
          <w:szCs w:val="32"/>
        </w:rPr>
        <w:t>-</w:t>
      </w:r>
      <w:r>
        <w:rPr>
          <w:rFonts w:eastAsia="仿宋_GB2312" w:cs="Times New Roman"/>
          <w:sz w:val="32"/>
          <w:szCs w:val="32"/>
        </w:rPr>
        <w:t>埝头一带，冲积扇上部大部分是缓坡地，主要为黄土状沉积物和夹碎石的洪积物组成，冲积扇的中、下部为洪积冲积物组成。</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四是冲积平原。主要是在潮白河、</w:t>
      </w:r>
      <w:r>
        <w:rPr>
          <w:rFonts w:eastAsia="仿宋" w:cs="Times New Roman"/>
          <w:sz w:val="32"/>
          <w:szCs w:val="32"/>
        </w:rPr>
        <w:t>泃</w:t>
      </w:r>
      <w:r>
        <w:rPr>
          <w:rFonts w:eastAsia="仿宋_GB2312" w:cs="Times New Roman"/>
          <w:sz w:val="32"/>
          <w:szCs w:val="32"/>
        </w:rPr>
        <w:t>河沿岸由阶地、低平地、浅平洼地、河漫滩等组成，其土壤质地变化显现河流沉积规律。</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五是洼地。主要是冲积扇末端的交接洼地，洼地中心海拔高度6.9米。新集</w:t>
      </w:r>
      <w:r>
        <w:rPr>
          <w:rFonts w:hint="eastAsia" w:eastAsia="仿宋_GB2312" w:cs="Times New Roman"/>
          <w:sz w:val="32"/>
          <w:szCs w:val="32"/>
        </w:rPr>
        <w:t>-</w:t>
      </w:r>
      <w:r>
        <w:rPr>
          <w:rFonts w:eastAsia="仿宋_GB2312" w:cs="Times New Roman"/>
          <w:sz w:val="32"/>
          <w:szCs w:val="32"/>
        </w:rPr>
        <w:t>昝辛屯是潮白河、</w:t>
      </w:r>
      <w:r>
        <w:rPr>
          <w:rFonts w:eastAsia="仿宋" w:cs="Times New Roman"/>
          <w:sz w:val="32"/>
          <w:szCs w:val="32"/>
        </w:rPr>
        <w:t>泃</w:t>
      </w:r>
      <w:r>
        <w:rPr>
          <w:rFonts w:eastAsia="仿宋_GB2312" w:cs="Times New Roman"/>
          <w:sz w:val="32"/>
          <w:szCs w:val="32"/>
        </w:rPr>
        <w:t>河、鲍邱河的永汇集处，是雨季滞洪区，洼地物质组成为粘质湖相静水沉积物。</w:t>
      </w:r>
    </w:p>
    <w:p>
      <w:pPr>
        <w:pStyle w:val="4"/>
        <w:spacing w:line="590" w:lineRule="exact"/>
        <w:ind w:firstLine="643"/>
      </w:pPr>
      <w:bookmarkStart w:id="21" w:name="_Toc23788293"/>
      <w:bookmarkStart w:id="22" w:name="_Toc467753395"/>
      <w:r>
        <w:t>2.2.2气象气候</w:t>
      </w:r>
      <w:bookmarkEnd w:id="21"/>
      <w:bookmarkEnd w:id="22"/>
    </w:p>
    <w:p>
      <w:pPr>
        <w:autoSpaceDN w:val="0"/>
        <w:adjustRightInd w:val="0"/>
        <w:snapToGrid w:val="0"/>
        <w:spacing w:line="590" w:lineRule="exact"/>
        <w:ind w:firstLine="640"/>
        <w:rPr>
          <w:rFonts w:eastAsia="仿宋_GB2312" w:cs="Times New Roman"/>
          <w:sz w:val="32"/>
          <w:szCs w:val="32"/>
        </w:rPr>
      </w:pPr>
      <w:r>
        <w:rPr>
          <w:rFonts w:eastAsia="仿宋_GB2312" w:cs="Times New Roman"/>
          <w:color w:val="000000"/>
          <w:sz w:val="32"/>
          <w:szCs w:val="32"/>
        </w:rPr>
        <w:t>三河市属典型暖温带大陆性季风气候，年平均气温11.1</w:t>
      </w:r>
      <w:r>
        <w:rPr>
          <w:rFonts w:hAnsi="宋体" w:cs="Times New Roman"/>
          <w:color w:val="000000"/>
          <w:sz w:val="32"/>
          <w:szCs w:val="32"/>
        </w:rPr>
        <w:t>℃</w:t>
      </w:r>
      <w:r>
        <w:rPr>
          <w:rFonts w:eastAsia="仿宋_GB2312" w:cs="Times New Roman"/>
          <w:color w:val="000000"/>
          <w:sz w:val="32"/>
          <w:szCs w:val="32"/>
        </w:rPr>
        <w:t>，历史极端气温分别为40.2</w:t>
      </w:r>
      <w:r>
        <w:rPr>
          <w:rFonts w:hAnsi="宋体" w:cs="Times New Roman"/>
          <w:color w:val="000000"/>
          <w:sz w:val="32"/>
          <w:szCs w:val="32"/>
        </w:rPr>
        <w:t>℃</w:t>
      </w:r>
      <w:r>
        <w:rPr>
          <w:rFonts w:eastAsia="仿宋_GB2312" w:cs="Times New Roman"/>
          <w:color w:val="000000"/>
          <w:sz w:val="32"/>
          <w:szCs w:val="32"/>
        </w:rPr>
        <w:t>和</w:t>
      </w:r>
      <w:r>
        <w:rPr>
          <w:rFonts w:hint="eastAsia" w:eastAsia="仿宋_GB2312" w:cs="Times New Roman"/>
          <w:color w:val="000000"/>
          <w:sz w:val="32"/>
          <w:szCs w:val="32"/>
        </w:rPr>
        <w:t>—</w:t>
      </w:r>
      <w:r>
        <w:rPr>
          <w:rFonts w:eastAsia="仿宋_GB2312" w:cs="Times New Roman"/>
          <w:color w:val="000000"/>
          <w:sz w:val="32"/>
          <w:szCs w:val="32"/>
        </w:rPr>
        <w:t>25.8</w:t>
      </w:r>
      <w:r>
        <w:rPr>
          <w:rFonts w:hAnsi="宋体" w:cs="Times New Roman"/>
          <w:color w:val="000000"/>
          <w:sz w:val="32"/>
          <w:szCs w:val="32"/>
        </w:rPr>
        <w:t>℃</w:t>
      </w:r>
      <w:r>
        <w:rPr>
          <w:rFonts w:eastAsia="仿宋_GB2312" w:cs="Times New Roman"/>
          <w:color w:val="000000"/>
          <w:sz w:val="32"/>
          <w:szCs w:val="32"/>
        </w:rPr>
        <w:t>，总降雨量为905.1毫米，年蒸发量1681.9毫米。历史平均降水量为622毫米。相对温度平均为58%，全年</w:t>
      </w:r>
      <w:r>
        <w:rPr>
          <w:rFonts w:eastAsia="仿宋_GB2312" w:cs="Times New Roman"/>
        </w:rPr>
        <w:fldChar w:fldCharType="begin"/>
      </w:r>
      <w:r>
        <w:rPr>
          <w:rFonts w:eastAsia="仿宋_GB2312" w:cs="Times New Roman"/>
        </w:rPr>
        <w:instrText xml:space="preserve"> HYPERLINK "http://baike.so.com/doc/5343929-6348797.html" </w:instrText>
      </w:r>
      <w:r>
        <w:rPr>
          <w:rFonts w:eastAsia="仿宋_GB2312" w:cs="Times New Roman"/>
        </w:rPr>
        <w:fldChar w:fldCharType="separate"/>
      </w:r>
      <w:r>
        <w:rPr>
          <w:rStyle w:val="12"/>
          <w:rFonts w:eastAsia="仿宋_GB2312" w:cs="Times New Roman"/>
          <w:color w:val="000000"/>
          <w:sz w:val="32"/>
          <w:szCs w:val="32"/>
          <w:u w:val="none"/>
        </w:rPr>
        <w:t>日照时数</w:t>
      </w:r>
      <w:r>
        <w:rPr>
          <w:rFonts w:eastAsia="仿宋_GB2312" w:cs="Times New Roman"/>
        </w:rPr>
        <w:fldChar w:fldCharType="end"/>
      </w:r>
      <w:r>
        <w:rPr>
          <w:rFonts w:eastAsia="仿宋_GB2312" w:cs="Times New Roman"/>
          <w:color w:val="000000"/>
          <w:sz w:val="32"/>
          <w:szCs w:val="32"/>
        </w:rPr>
        <w:t>平均为2870小时，历年平均无霜期183天，</w:t>
      </w:r>
      <w:r>
        <w:rPr>
          <w:rFonts w:eastAsia="仿宋_GB2312" w:cs="Times New Roman"/>
        </w:rPr>
        <w:fldChar w:fldCharType="begin"/>
      </w:r>
      <w:r>
        <w:rPr>
          <w:rFonts w:eastAsia="仿宋_GB2312" w:cs="Times New Roman"/>
        </w:rPr>
        <w:instrText xml:space="preserve"> HYPERLINK "http://baike.so.com/doc/4081926-4280697.html" </w:instrText>
      </w:r>
      <w:r>
        <w:rPr>
          <w:rFonts w:eastAsia="仿宋_GB2312" w:cs="Times New Roman"/>
        </w:rPr>
        <w:fldChar w:fldCharType="separate"/>
      </w:r>
      <w:r>
        <w:rPr>
          <w:rStyle w:val="12"/>
          <w:rFonts w:eastAsia="仿宋_GB2312" w:cs="Times New Roman"/>
          <w:color w:val="000000"/>
          <w:sz w:val="32"/>
          <w:szCs w:val="32"/>
          <w:u w:val="none"/>
        </w:rPr>
        <w:t>最大冻土深度</w:t>
      </w:r>
      <w:r>
        <w:rPr>
          <w:rFonts w:eastAsia="仿宋_GB2312" w:cs="Times New Roman"/>
        </w:rPr>
        <w:fldChar w:fldCharType="end"/>
      </w:r>
      <w:r>
        <w:rPr>
          <w:rFonts w:eastAsia="仿宋_GB2312" w:cs="Times New Roman"/>
          <w:color w:val="000000"/>
          <w:sz w:val="32"/>
          <w:szCs w:val="32"/>
        </w:rPr>
        <w:t>77cm，最大降雪厚度26cm。辖区一年四季分明，气候温和宜人，风沙量小，自然破坏力极低。</w:t>
      </w:r>
      <w:r>
        <w:rPr>
          <w:rFonts w:eastAsia="仿宋_GB2312" w:cs="Times New Roman"/>
          <w:sz w:val="32"/>
          <w:szCs w:val="32"/>
        </w:rPr>
        <w:t>由于三河市的夏季和初秋受东南暖湿气流控制，炎热多雨，是降雨比较集中的季节，85%以上降水量集中在6</w:t>
      </w:r>
      <w:r>
        <w:rPr>
          <w:rFonts w:hint="eastAsia" w:eastAsia="仿宋_GB2312" w:cs="Times New Roman"/>
          <w:sz w:val="32"/>
          <w:szCs w:val="32"/>
        </w:rPr>
        <w:t>—</w:t>
      </w:r>
      <w:r>
        <w:rPr>
          <w:rFonts w:eastAsia="仿宋_GB2312" w:cs="Times New Roman"/>
          <w:sz w:val="32"/>
          <w:szCs w:val="32"/>
        </w:rPr>
        <w:t>9月份。</w:t>
      </w:r>
    </w:p>
    <w:p>
      <w:pPr>
        <w:pStyle w:val="4"/>
        <w:spacing w:line="590" w:lineRule="exact"/>
        <w:ind w:firstLine="643"/>
      </w:pPr>
      <w:bookmarkStart w:id="23" w:name="_Toc23788294"/>
      <w:bookmarkStart w:id="24" w:name="_Toc467753396"/>
      <w:r>
        <w:t>2.2.3土地与矿产</w:t>
      </w:r>
      <w:bookmarkEnd w:id="23"/>
      <w:bookmarkEnd w:id="24"/>
    </w:p>
    <w:p>
      <w:pPr>
        <w:autoSpaceDN w:val="0"/>
        <w:adjustRightInd w:val="0"/>
        <w:snapToGrid w:val="0"/>
        <w:spacing w:line="590" w:lineRule="exact"/>
        <w:ind w:firstLine="640"/>
        <w:rPr>
          <w:rFonts w:eastAsia="仿宋_GB2312" w:cs="Times New Roman"/>
          <w:color w:val="000000"/>
          <w:spacing w:val="-8"/>
          <w:sz w:val="32"/>
          <w:szCs w:val="32"/>
        </w:rPr>
      </w:pPr>
      <w:r>
        <w:rPr>
          <w:rFonts w:eastAsia="仿宋_GB2312" w:cs="Times New Roman"/>
          <w:color w:val="000000"/>
          <w:sz w:val="32"/>
          <w:szCs w:val="32"/>
        </w:rPr>
        <w:t>全市总土地面积634平方公里，折合63400公顷。其中，耕地面积36119.79公顷，占全市总土地面积的57%；园地面积为1984.86公顷，占全市总面积的3.1%；林地面积为806.66公顷，占全市总面积的1.2%；居民点及工矿用地面积为12426.66公顷，占全市总面积的19.61%；交通用地面积2079.48公顷，占全市总面积的3.3%；</w:t>
      </w:r>
      <w:r>
        <w:rPr>
          <w:rFonts w:eastAsia="仿宋_GB2312" w:cs="Times New Roman"/>
          <w:color w:val="000000"/>
          <w:spacing w:val="-8"/>
          <w:sz w:val="32"/>
          <w:szCs w:val="32"/>
        </w:rPr>
        <w:t>市内水域面积约为4687.96公顷，占全市总面积的7.4%，其中河流水面894.7公顷，坑塘水面1399.8公顷，滩涂2393.46公顷。</w:t>
      </w:r>
    </w:p>
    <w:p>
      <w:pPr>
        <w:autoSpaceDN w:val="0"/>
        <w:adjustRightInd w:val="0"/>
        <w:snapToGrid w:val="0"/>
        <w:spacing w:line="590" w:lineRule="exact"/>
        <w:ind w:firstLine="608"/>
        <w:rPr>
          <w:rFonts w:eastAsia="仿宋_GB2312" w:cs="Times New Roman"/>
          <w:color w:val="000000"/>
          <w:spacing w:val="-8"/>
          <w:sz w:val="32"/>
          <w:szCs w:val="32"/>
        </w:rPr>
      </w:pPr>
      <w:r>
        <w:rPr>
          <w:rFonts w:eastAsia="仿宋_GB2312" w:cs="Times New Roman"/>
          <w:color w:val="000000"/>
          <w:spacing w:val="-8"/>
          <w:sz w:val="32"/>
          <w:szCs w:val="32"/>
        </w:rPr>
        <w:t>三河市是廊坊地区非金属固体矿产资源集中分布区，已部分探明矿产资源有白云石、石灰石、煤、海泡石粘土、页岩、红黏土、矿泉水等，待查明的矿产有海泡石粘土、大理石、褐煤、金、河沙、地热、石材等，详细的</w:t>
      </w:r>
      <w:r>
        <w:rPr>
          <w:rFonts w:eastAsia="仿宋_GB2312" w:cs="Times New Roman"/>
          <w:spacing w:val="-8"/>
          <w:sz w:val="32"/>
          <w:szCs w:val="32"/>
        </w:rPr>
        <w:t>资源储量及其分布</w:t>
      </w:r>
      <w:r>
        <w:rPr>
          <w:rFonts w:eastAsia="仿宋_GB2312" w:cs="Times New Roman"/>
          <w:color w:val="000000"/>
          <w:spacing w:val="-8"/>
          <w:sz w:val="32"/>
          <w:szCs w:val="32"/>
        </w:rPr>
        <w:t>见下表2-1。</w:t>
      </w:r>
    </w:p>
    <w:p>
      <w:pPr>
        <w:pStyle w:val="15"/>
        <w:autoSpaceDN w:val="0"/>
        <w:adjustRightInd w:val="0"/>
        <w:snapToGrid w:val="0"/>
        <w:spacing w:before="163" w:beforeLines="50" w:after="163" w:afterLines="50" w:line="584" w:lineRule="exact"/>
        <w:rPr>
          <w:rFonts w:ascii="黑体" w:hAnsi="黑体" w:eastAsia="黑体" w:cs="Times New Roman"/>
          <w:b w:val="0"/>
          <w:sz w:val="32"/>
          <w:szCs w:val="32"/>
        </w:rPr>
      </w:pPr>
      <w:r>
        <w:rPr>
          <w:rFonts w:ascii="Times New Roman" w:hAnsi="黑体" w:eastAsia="黑体" w:cs="Times New Roman"/>
          <w:b w:val="0"/>
          <w:sz w:val="32"/>
          <w:szCs w:val="32"/>
        </w:rPr>
        <w:t>表</w:t>
      </w:r>
      <w:r>
        <w:rPr>
          <w:rFonts w:ascii="Times New Roman" w:hAnsi="Times New Roman" w:eastAsia="黑体" w:cs="Times New Roman"/>
          <w:b w:val="0"/>
          <w:sz w:val="32"/>
          <w:szCs w:val="32"/>
        </w:rPr>
        <w:t>2-1</w:t>
      </w:r>
      <w:r>
        <w:rPr>
          <w:rFonts w:ascii="Times New Roman" w:hAnsi="黑体" w:eastAsia="黑体" w:cs="Times New Roman"/>
          <w:b w:val="0"/>
          <w:sz w:val="32"/>
          <w:szCs w:val="32"/>
        </w:rPr>
        <w:t>　三</w:t>
      </w:r>
      <w:r>
        <w:rPr>
          <w:rFonts w:ascii="黑体" w:hAnsi="黑体" w:eastAsia="黑体" w:cs="Times New Roman"/>
          <w:b w:val="0"/>
          <w:sz w:val="32"/>
          <w:szCs w:val="32"/>
        </w:rPr>
        <w:t>河市已探明矿产资源储量及其分布</w:t>
      </w:r>
    </w:p>
    <w:tbl>
      <w:tblPr>
        <w:tblStyle w:val="13"/>
        <w:tblW w:w="8790" w:type="dxa"/>
        <w:tblInd w:w="0" w:type="dxa"/>
        <w:tblLayout w:type="fixed"/>
        <w:tblCellMar>
          <w:top w:w="15" w:type="dxa"/>
          <w:left w:w="15" w:type="dxa"/>
          <w:bottom w:w="15" w:type="dxa"/>
          <w:right w:w="15" w:type="dxa"/>
        </w:tblCellMar>
      </w:tblPr>
      <w:tblGrid>
        <w:gridCol w:w="1787"/>
        <w:gridCol w:w="3208"/>
        <w:gridCol w:w="3795"/>
      </w:tblGrid>
      <w:tr>
        <w:tblPrEx>
          <w:tblLayout w:type="fixed"/>
          <w:tblCellMar>
            <w:top w:w="15" w:type="dxa"/>
            <w:left w:w="15" w:type="dxa"/>
            <w:bottom w:w="15" w:type="dxa"/>
            <w:right w:w="15" w:type="dxa"/>
          </w:tblCellMar>
        </w:tblPrEx>
        <w:trPr>
          <w:trHeight w:val="404" w:hRule="atLeast"/>
        </w:trPr>
        <w:tc>
          <w:tcPr>
            <w:tcW w:w="1787" w:type="dxa"/>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矿种</w:t>
            </w: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矿区名称</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资源/储量（万吨）</w:t>
            </w:r>
          </w:p>
        </w:tc>
      </w:tr>
      <w:tr>
        <w:tblPrEx>
          <w:tblLayout w:type="fixed"/>
          <w:tblCellMar>
            <w:top w:w="15" w:type="dxa"/>
            <w:left w:w="15" w:type="dxa"/>
            <w:bottom w:w="15" w:type="dxa"/>
            <w:right w:w="15" w:type="dxa"/>
          </w:tblCellMar>
        </w:tblPrEx>
        <w:trPr>
          <w:trHeight w:val="404" w:hRule="atLeast"/>
        </w:trPr>
        <w:tc>
          <w:tcPr>
            <w:tcW w:w="1787" w:type="dxa"/>
            <w:vMerge w:val="restart"/>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煤</w:t>
            </w: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沈庄</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1654</w:t>
            </w:r>
          </w:p>
        </w:tc>
      </w:tr>
      <w:tr>
        <w:tblPrEx>
          <w:tblLayout w:type="fixed"/>
          <w:tblCellMar>
            <w:top w:w="15" w:type="dxa"/>
            <w:left w:w="15" w:type="dxa"/>
            <w:bottom w:w="15" w:type="dxa"/>
            <w:right w:w="15" w:type="dxa"/>
          </w:tblCellMar>
        </w:tblPrEx>
        <w:trPr>
          <w:trHeight w:val="404" w:hRule="atLeast"/>
        </w:trPr>
        <w:tc>
          <w:tcPr>
            <w:tcW w:w="1787" w:type="dxa"/>
            <w:vMerge w:val="continue"/>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eastAsia="仿宋_GB2312" w:cs="Times New Roman"/>
                <w:sz w:val="21"/>
                <w:szCs w:val="21"/>
              </w:rPr>
            </w:pP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康家湾—大福庄</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6426</w:t>
            </w:r>
          </w:p>
        </w:tc>
      </w:tr>
      <w:tr>
        <w:tblPrEx>
          <w:tblLayout w:type="fixed"/>
          <w:tblCellMar>
            <w:top w:w="15" w:type="dxa"/>
            <w:left w:w="15" w:type="dxa"/>
            <w:bottom w:w="15" w:type="dxa"/>
            <w:right w:w="15" w:type="dxa"/>
          </w:tblCellMar>
        </w:tblPrEx>
        <w:trPr>
          <w:trHeight w:val="404" w:hRule="atLeast"/>
        </w:trPr>
        <w:tc>
          <w:tcPr>
            <w:tcW w:w="1787" w:type="dxa"/>
            <w:vMerge w:val="restart"/>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白云岩</w:t>
            </w: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尚庄子</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31599</w:t>
            </w:r>
          </w:p>
        </w:tc>
      </w:tr>
      <w:tr>
        <w:tblPrEx>
          <w:tblLayout w:type="fixed"/>
          <w:tblCellMar>
            <w:top w:w="15" w:type="dxa"/>
            <w:left w:w="15" w:type="dxa"/>
            <w:bottom w:w="15" w:type="dxa"/>
            <w:right w:w="15" w:type="dxa"/>
          </w:tblCellMar>
        </w:tblPrEx>
        <w:trPr>
          <w:trHeight w:val="404" w:hRule="atLeast"/>
        </w:trPr>
        <w:tc>
          <w:tcPr>
            <w:tcW w:w="1787" w:type="dxa"/>
            <w:vMerge w:val="continue"/>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eastAsia="仿宋_GB2312" w:cs="Times New Roman"/>
                <w:sz w:val="21"/>
                <w:szCs w:val="21"/>
              </w:rPr>
            </w:pP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段甲岭</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12158</w:t>
            </w:r>
          </w:p>
        </w:tc>
      </w:tr>
      <w:tr>
        <w:tblPrEx>
          <w:tblLayout w:type="fixed"/>
          <w:tblCellMar>
            <w:top w:w="15" w:type="dxa"/>
            <w:left w:w="15" w:type="dxa"/>
            <w:bottom w:w="15" w:type="dxa"/>
            <w:right w:w="15" w:type="dxa"/>
          </w:tblCellMar>
        </w:tblPrEx>
        <w:trPr>
          <w:trHeight w:val="404" w:hRule="atLeast"/>
        </w:trPr>
        <w:tc>
          <w:tcPr>
            <w:tcW w:w="1787"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石灰岩</w:t>
            </w: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孤山</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1450</w:t>
            </w:r>
          </w:p>
        </w:tc>
      </w:tr>
      <w:tr>
        <w:tblPrEx>
          <w:tblLayout w:type="fixed"/>
          <w:tblCellMar>
            <w:top w:w="15" w:type="dxa"/>
            <w:left w:w="15" w:type="dxa"/>
            <w:bottom w:w="15" w:type="dxa"/>
            <w:right w:w="15" w:type="dxa"/>
          </w:tblCellMar>
        </w:tblPrEx>
        <w:trPr>
          <w:trHeight w:val="404" w:hRule="atLeast"/>
        </w:trPr>
        <w:tc>
          <w:tcPr>
            <w:tcW w:w="1787"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海泡石粘土</w:t>
            </w: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尚庄子、段甲岭</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1200</w:t>
            </w:r>
          </w:p>
        </w:tc>
      </w:tr>
      <w:tr>
        <w:tblPrEx>
          <w:tblLayout w:type="fixed"/>
          <w:tblCellMar>
            <w:top w:w="15" w:type="dxa"/>
            <w:left w:w="15" w:type="dxa"/>
            <w:bottom w:w="15" w:type="dxa"/>
            <w:right w:w="15" w:type="dxa"/>
          </w:tblCellMar>
        </w:tblPrEx>
        <w:trPr>
          <w:trHeight w:val="404" w:hRule="atLeast"/>
        </w:trPr>
        <w:tc>
          <w:tcPr>
            <w:tcW w:w="1787"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页岩</w:t>
            </w: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蒋福山</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413</w:t>
            </w:r>
          </w:p>
        </w:tc>
      </w:tr>
      <w:tr>
        <w:tblPrEx>
          <w:tblLayout w:type="fixed"/>
          <w:tblCellMar>
            <w:top w:w="15" w:type="dxa"/>
            <w:left w:w="15" w:type="dxa"/>
            <w:bottom w:w="15" w:type="dxa"/>
            <w:right w:w="15" w:type="dxa"/>
          </w:tblCellMar>
        </w:tblPrEx>
        <w:trPr>
          <w:trHeight w:val="404" w:hRule="atLeast"/>
        </w:trPr>
        <w:tc>
          <w:tcPr>
            <w:tcW w:w="1787" w:type="dxa"/>
            <w:vMerge w:val="restart"/>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红黏土</w:t>
            </w: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尚庄子</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39</w:t>
            </w:r>
          </w:p>
        </w:tc>
      </w:tr>
      <w:tr>
        <w:tblPrEx>
          <w:tblLayout w:type="fixed"/>
          <w:tblCellMar>
            <w:top w:w="15" w:type="dxa"/>
            <w:left w:w="15" w:type="dxa"/>
            <w:bottom w:w="15" w:type="dxa"/>
            <w:right w:w="15" w:type="dxa"/>
          </w:tblCellMar>
        </w:tblPrEx>
        <w:trPr>
          <w:trHeight w:val="404" w:hRule="atLeast"/>
        </w:trPr>
        <w:tc>
          <w:tcPr>
            <w:tcW w:w="1787" w:type="dxa"/>
            <w:vMerge w:val="continue"/>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eastAsia="仿宋_GB2312" w:cs="Times New Roman"/>
                <w:sz w:val="21"/>
                <w:szCs w:val="21"/>
              </w:rPr>
            </w:pP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红土沟</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160</w:t>
            </w:r>
          </w:p>
        </w:tc>
      </w:tr>
      <w:tr>
        <w:tblPrEx>
          <w:tblLayout w:type="fixed"/>
          <w:tblCellMar>
            <w:top w:w="15" w:type="dxa"/>
            <w:left w:w="15" w:type="dxa"/>
            <w:bottom w:w="15" w:type="dxa"/>
            <w:right w:w="15" w:type="dxa"/>
          </w:tblCellMar>
        </w:tblPrEx>
        <w:trPr>
          <w:trHeight w:val="404" w:hRule="atLeast"/>
        </w:trPr>
        <w:tc>
          <w:tcPr>
            <w:tcW w:w="1787" w:type="dxa"/>
            <w:vMerge w:val="continue"/>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eastAsia="仿宋_GB2312" w:cs="Times New Roman"/>
                <w:sz w:val="21"/>
                <w:szCs w:val="21"/>
              </w:rPr>
            </w:pP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孤山</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285</w:t>
            </w:r>
          </w:p>
        </w:tc>
      </w:tr>
      <w:tr>
        <w:tblPrEx>
          <w:tblLayout w:type="fixed"/>
          <w:tblCellMar>
            <w:top w:w="15" w:type="dxa"/>
            <w:left w:w="15" w:type="dxa"/>
            <w:bottom w:w="15" w:type="dxa"/>
            <w:right w:w="15" w:type="dxa"/>
          </w:tblCellMar>
        </w:tblPrEx>
        <w:trPr>
          <w:trHeight w:val="404" w:hRule="atLeast"/>
        </w:trPr>
        <w:tc>
          <w:tcPr>
            <w:tcW w:w="1787" w:type="dxa"/>
            <w:vMerge w:val="restart"/>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矿泉水</w:t>
            </w: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李旗庄国粮库</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批准开采1500吨/日</w:t>
            </w:r>
          </w:p>
        </w:tc>
      </w:tr>
      <w:tr>
        <w:tblPrEx>
          <w:tblLayout w:type="fixed"/>
          <w:tblCellMar>
            <w:top w:w="15" w:type="dxa"/>
            <w:left w:w="15" w:type="dxa"/>
            <w:bottom w:w="15" w:type="dxa"/>
            <w:right w:w="15" w:type="dxa"/>
          </w:tblCellMar>
        </w:tblPrEx>
        <w:trPr>
          <w:trHeight w:val="404" w:hRule="atLeast"/>
        </w:trPr>
        <w:tc>
          <w:tcPr>
            <w:tcW w:w="1787" w:type="dxa"/>
            <w:vMerge w:val="continue"/>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eastAsia="仿宋_GB2312" w:cs="Times New Roman"/>
                <w:sz w:val="21"/>
                <w:szCs w:val="21"/>
              </w:rPr>
            </w:pP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李旗庄华堂</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批准开采1200吨/日</w:t>
            </w:r>
          </w:p>
        </w:tc>
      </w:tr>
      <w:tr>
        <w:tblPrEx>
          <w:tblLayout w:type="fixed"/>
          <w:tblCellMar>
            <w:top w:w="15" w:type="dxa"/>
            <w:left w:w="15" w:type="dxa"/>
            <w:bottom w:w="15" w:type="dxa"/>
            <w:right w:w="15" w:type="dxa"/>
          </w:tblCellMar>
        </w:tblPrEx>
        <w:trPr>
          <w:trHeight w:val="412" w:hRule="atLeast"/>
        </w:trPr>
        <w:tc>
          <w:tcPr>
            <w:tcW w:w="1787" w:type="dxa"/>
            <w:vMerge w:val="continue"/>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eastAsia="仿宋_GB2312" w:cs="Times New Roman"/>
                <w:sz w:val="21"/>
                <w:szCs w:val="21"/>
              </w:rPr>
            </w:pPr>
          </w:p>
        </w:tc>
        <w:tc>
          <w:tcPr>
            <w:tcW w:w="3208"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灵山</w:t>
            </w:r>
          </w:p>
        </w:tc>
        <w:tc>
          <w:tcPr>
            <w:tcW w:w="379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批准开采1500吨/日</w:t>
            </w:r>
          </w:p>
        </w:tc>
      </w:tr>
    </w:tbl>
    <w:p>
      <w:pPr>
        <w:pStyle w:val="3"/>
        <w:spacing w:line="590" w:lineRule="exact"/>
        <w:ind w:firstLine="643"/>
        <w:rPr>
          <w:rFonts w:eastAsia="楷体_GB2312"/>
        </w:rPr>
      </w:pPr>
      <w:bookmarkStart w:id="25" w:name="_Toc467753397"/>
      <w:bookmarkStart w:id="26" w:name="_Toc23788295"/>
      <w:r>
        <w:rPr>
          <w:rFonts w:eastAsia="楷体_GB2312"/>
        </w:rPr>
        <w:br w:type="page"/>
      </w:r>
      <w:r>
        <w:rPr>
          <w:rFonts w:eastAsia="楷体_GB2312"/>
        </w:rPr>
        <w:t>2.3社会经济概况</w:t>
      </w:r>
      <w:bookmarkEnd w:id="25"/>
      <w:bookmarkEnd w:id="26"/>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三河幅员面积634平方公里，2017年末户籍总人口71万，其中城镇人口39万，农村人口32万。辖10个镇、5个园区、4个街道、395个村街。1993年撤县设市，2005年被确定为全省首批扩权县，综合经济实力连续跻身“全国百强”、“河北十强”。</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2017年全市地区生产总值547.5亿元，其中，第一产业增加值31.3亿元，第二产业增加值278亿元，第三产业增加值238.2亿元。三次产业结构为5.7：50.8：43.5。财政收入占地区生产总值的比重为19.1%。城镇居民人均可支配收入达到41115元，农村居民人均可支配收入达到17543元。</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目前，三河市已初步形成了高新技术产业引领、先进制造业和现代服务业跟进、传统产业做强的产业发展格局。高新技术产业占据主导，全市高新技术企业达到130家，有科研机构的达30余家，高新技术产业增加值占全市地区生产总值的6%，全球唯一打入微软公司汉字处理系统的汉王制造公司，中国通讯业巨头之一的中兴通讯公司，为航天工程、探月工程以及导航卫星系统提供光电子器件的世维通公司，国内规模最大的中药水针剂生产基地神威药业，国内有色金属行业最大的综合性研发机构有研总院，国内规模最大、专业化程度最高的民营清洁能源发电企业汉能集团等著名企业相继落户三河。</w:t>
      </w:r>
    </w:p>
    <w:p>
      <w:pPr>
        <w:pStyle w:val="3"/>
        <w:spacing w:line="590" w:lineRule="exact"/>
        <w:ind w:firstLine="643"/>
        <w:rPr>
          <w:rFonts w:eastAsia="楷体_GB2312"/>
        </w:rPr>
      </w:pPr>
      <w:bookmarkStart w:id="27" w:name="_Toc467753399"/>
      <w:bookmarkStart w:id="28" w:name="_Toc23788296"/>
      <w:bookmarkStart w:id="29" w:name="_Toc467753398"/>
      <w:r>
        <w:rPr>
          <w:rFonts w:eastAsia="楷体_GB2312"/>
        </w:rPr>
        <w:t>2.4</w:t>
      </w:r>
      <w:r>
        <w:rPr>
          <w:rFonts w:eastAsia="仿宋"/>
        </w:rPr>
        <w:t>泃</w:t>
      </w:r>
      <w:r>
        <w:rPr>
          <w:rFonts w:eastAsia="楷体_GB2312"/>
        </w:rPr>
        <w:t>河水系</w:t>
      </w:r>
      <w:bookmarkEnd w:id="27"/>
      <w:r>
        <w:rPr>
          <w:rFonts w:eastAsia="楷体_GB2312"/>
        </w:rPr>
        <w:t>概况</w:t>
      </w:r>
      <w:bookmarkEnd w:id="28"/>
    </w:p>
    <w:p>
      <w:pPr>
        <w:autoSpaceDN w:val="0"/>
        <w:adjustRightInd w:val="0"/>
        <w:snapToGrid w:val="0"/>
        <w:spacing w:after="65" w:afterLines="20" w:line="590" w:lineRule="exact"/>
        <w:ind w:firstLine="640"/>
        <w:rPr>
          <w:rFonts w:eastAsia="仿宋_GB2312" w:cs="Times New Roman"/>
          <w:sz w:val="32"/>
          <w:szCs w:val="32"/>
        </w:rPr>
      </w:pPr>
      <w:r>
        <w:rPr>
          <w:rFonts w:eastAsia="仿宋_GB2312" w:cs="Times New Roman"/>
          <w:sz w:val="32"/>
          <w:szCs w:val="32"/>
        </w:rPr>
        <w:t>三河市境内主要的河流有</w:t>
      </w:r>
      <w:r>
        <w:rPr>
          <w:rFonts w:eastAsia="仿宋" w:cs="Times New Roman"/>
          <w:bCs/>
          <w:sz w:val="32"/>
          <w:szCs w:val="32"/>
        </w:rPr>
        <w:t>泃</w:t>
      </w:r>
      <w:r>
        <w:rPr>
          <w:rFonts w:eastAsia="仿宋_GB2312" w:cs="Times New Roman"/>
          <w:sz w:val="32"/>
          <w:szCs w:val="32"/>
        </w:rPr>
        <w:t>河、引</w:t>
      </w:r>
      <w:r>
        <w:rPr>
          <w:rFonts w:eastAsia="仿宋" w:cs="Times New Roman"/>
          <w:bCs/>
          <w:sz w:val="32"/>
          <w:szCs w:val="32"/>
        </w:rPr>
        <w:t>泃</w:t>
      </w:r>
      <w:r>
        <w:rPr>
          <w:rFonts w:eastAsia="仿宋_GB2312" w:cs="Times New Roman"/>
          <w:sz w:val="32"/>
          <w:szCs w:val="32"/>
        </w:rPr>
        <w:t>入潮、潮白河、鲍邱河、</w:t>
      </w:r>
      <w:r>
        <w:rPr>
          <w:rFonts w:eastAsia="仿宋" w:cs="Times New Roman"/>
          <w:bCs/>
          <w:sz w:val="32"/>
          <w:szCs w:val="32"/>
        </w:rPr>
        <w:t>鵏</w:t>
      </w:r>
      <w:r>
        <w:rPr>
          <w:rFonts w:eastAsia="仿宋_GB2312" w:cs="Times New Roman"/>
          <w:sz w:val="32"/>
          <w:szCs w:val="32"/>
        </w:rPr>
        <w:t>池河等，均属于海河流域，其次是红一支、红二支，如图2</w:t>
      </w:r>
      <w:r>
        <w:rPr>
          <w:rFonts w:hint="eastAsia" w:eastAsia="仿宋_GB2312" w:cs="Times New Roman"/>
          <w:sz w:val="32"/>
          <w:szCs w:val="32"/>
        </w:rPr>
        <w:t>-</w:t>
      </w:r>
      <w:r>
        <w:rPr>
          <w:rFonts w:eastAsia="仿宋_GB2312" w:cs="Times New Roman"/>
          <w:sz w:val="32"/>
          <w:szCs w:val="32"/>
        </w:rPr>
        <w:t>1。本方案的研究区域为</w:t>
      </w:r>
      <w:r>
        <w:rPr>
          <w:rFonts w:eastAsia="仿宋" w:cs="Times New Roman"/>
          <w:bCs/>
          <w:sz w:val="32"/>
          <w:szCs w:val="32"/>
        </w:rPr>
        <w:t>泃</w:t>
      </w:r>
      <w:r>
        <w:rPr>
          <w:rFonts w:eastAsia="仿宋_GB2312" w:cs="Times New Roman"/>
          <w:sz w:val="32"/>
          <w:szCs w:val="32"/>
        </w:rPr>
        <w:t>河及其支流水系。</w:t>
      </w:r>
    </w:p>
    <w:p>
      <w:pPr>
        <w:pStyle w:val="15"/>
        <w:autoSpaceDN w:val="0"/>
        <w:snapToGrid w:val="0"/>
        <w:rPr>
          <w:rFonts w:ascii="Times New Roman" w:hAnsi="Times New Roman" w:eastAsia="仿宋_GB2312" w:cs="Times New Roman"/>
          <w:szCs w:val="32"/>
        </w:rPr>
      </w:pPr>
      <w:r>
        <w:rPr>
          <w:rFonts w:ascii="Times New Roman" w:hAnsi="Times New Roman" w:eastAsia="仿宋_GB2312" w:cs="Times New Roman"/>
          <w:szCs w:val="32"/>
        </w:rPr>
        <w:drawing>
          <wp:inline distT="0" distB="0" distL="114300" distR="114300">
            <wp:extent cx="5556250" cy="5170805"/>
            <wp:effectExtent l="0" t="0" r="6350" b="10795"/>
            <wp:docPr id="94" name="图片 61" descr="922649695148358023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1" descr="9226496951483580232812"/>
                    <pic:cNvPicPr>
                      <a:picLocks noChangeAspect="1"/>
                    </pic:cNvPicPr>
                  </pic:nvPicPr>
                  <pic:blipFill>
                    <a:blip r:embed="rId20"/>
                    <a:stretch>
                      <a:fillRect/>
                    </a:stretch>
                  </pic:blipFill>
                  <pic:spPr>
                    <a:xfrm>
                      <a:off x="0" y="0"/>
                      <a:ext cx="5556250" cy="5170805"/>
                    </a:xfrm>
                    <a:prstGeom prst="rect">
                      <a:avLst/>
                    </a:prstGeom>
                    <a:noFill/>
                    <a:ln w="9525">
                      <a:noFill/>
                    </a:ln>
                  </pic:spPr>
                </pic:pic>
              </a:graphicData>
            </a:graphic>
          </wp:inline>
        </w:drawing>
      </w:r>
    </w:p>
    <w:p>
      <w:pPr>
        <w:pStyle w:val="15"/>
        <w:autoSpaceDN w:val="0"/>
        <w:adjustRightInd w:val="0"/>
        <w:snapToGrid w:val="0"/>
        <w:spacing w:after="97" w:afterLines="30" w:line="584" w:lineRule="exact"/>
        <w:rPr>
          <w:rFonts w:ascii="Times New Roman" w:hAnsi="Times New Roman" w:eastAsia="仿宋_GB2312" w:cs="Times New Roman"/>
          <w:szCs w:val="32"/>
        </w:rPr>
      </w:pPr>
      <w:r>
        <w:rPr>
          <w:rFonts w:ascii="Times New Roman" w:hAnsi="Times New Roman" w:eastAsia="仿宋_GB2312" w:cs="Times New Roman"/>
          <w:szCs w:val="32"/>
        </w:rPr>
        <w:t>图2-1　三河市全市水系示意图</w:t>
      </w:r>
    </w:p>
    <w:p>
      <w:pPr>
        <w:pStyle w:val="14"/>
        <w:autoSpaceDN w:val="0"/>
        <w:adjustRightInd w:val="0"/>
        <w:snapToGrid w:val="0"/>
        <w:spacing w:line="584" w:lineRule="exact"/>
        <w:ind w:firstLine="640"/>
        <w:rPr>
          <w:rFonts w:ascii="Times New Roman" w:hAnsi="Times New Roman" w:eastAsia="仿宋_GB2312"/>
          <w:sz w:val="32"/>
          <w:szCs w:val="32"/>
        </w:rPr>
      </w:pPr>
      <w:r>
        <w:rPr>
          <w:rFonts w:ascii="Times New Roman" w:hAnsi="Times New Roman" w:eastAsia="仿宋"/>
          <w:bCs/>
          <w:sz w:val="32"/>
          <w:szCs w:val="32"/>
        </w:rPr>
        <w:t>泃</w:t>
      </w:r>
      <w:r>
        <w:rPr>
          <w:rFonts w:ascii="Times New Roman" w:hAnsi="Times New Roman" w:eastAsia="仿宋_GB2312"/>
          <w:sz w:val="32"/>
          <w:szCs w:val="32"/>
        </w:rPr>
        <w:t>河是一条跨省市河流，属于蓟运河水系，发源于河北省兴隆县将军关外的</w:t>
      </w:r>
      <w:r>
        <w:rPr>
          <w:rFonts w:ascii="Times New Roman" w:hAnsi="Times New Roman" w:eastAsia="仿宋"/>
          <w:bCs/>
          <w:sz w:val="32"/>
          <w:szCs w:val="32"/>
        </w:rPr>
        <w:t>芧</w:t>
      </w:r>
      <w:r>
        <w:rPr>
          <w:rFonts w:ascii="Times New Roman" w:hAnsi="Times New Roman" w:eastAsia="仿宋_GB2312"/>
          <w:sz w:val="32"/>
          <w:szCs w:val="32"/>
        </w:rPr>
        <w:t>山、青灰岭，流经天津蓟州区、北京平谷区、三河城区，由三河市桥头村南进入宝坻区境内西四庄村北，而后沿天津蓟州区、宝坻区界向东流至张古庄与蓟运河相汇。</w:t>
      </w:r>
    </w:p>
    <w:p>
      <w:pPr>
        <w:pStyle w:val="14"/>
        <w:autoSpaceDN w:val="0"/>
        <w:adjustRightInd w:val="0"/>
        <w:snapToGrid w:val="0"/>
        <w:spacing w:line="584" w:lineRule="exact"/>
        <w:ind w:firstLine="640"/>
        <w:rPr>
          <w:rFonts w:ascii="Times New Roman" w:hAnsi="Times New Roman" w:eastAsia="仿宋_GB2312"/>
          <w:sz w:val="32"/>
          <w:szCs w:val="32"/>
        </w:rPr>
      </w:pPr>
      <w:r>
        <w:rPr>
          <w:rFonts w:ascii="Times New Roman" w:hAnsi="Times New Roman" w:eastAsia="仿宋"/>
          <w:bCs/>
          <w:sz w:val="32"/>
          <w:szCs w:val="32"/>
        </w:rPr>
        <w:t>泃</w:t>
      </w:r>
      <w:r>
        <w:rPr>
          <w:rFonts w:ascii="Times New Roman" w:hAnsi="Times New Roman" w:eastAsia="仿宋_GB2312"/>
          <w:color w:val="333333"/>
          <w:sz w:val="32"/>
          <w:szCs w:val="32"/>
        </w:rPr>
        <w:t>河全长206公里，流域面积2276</w:t>
      </w:r>
      <w:r>
        <w:rPr>
          <w:rFonts w:hint="eastAsia" w:ascii="Times New Roman" w:hAnsi="Times New Roman" w:eastAsia="仿宋_GB2312"/>
          <w:color w:val="333333"/>
          <w:sz w:val="32"/>
          <w:szCs w:val="32"/>
        </w:rPr>
        <w:t>平方</w:t>
      </w:r>
      <w:r>
        <w:rPr>
          <w:rFonts w:ascii="Times New Roman" w:hAnsi="Times New Roman" w:eastAsia="仿宋_GB2312"/>
          <w:color w:val="333333"/>
          <w:sz w:val="32"/>
          <w:szCs w:val="32"/>
        </w:rPr>
        <w:t>公里，</w:t>
      </w:r>
      <w:r>
        <w:rPr>
          <w:rFonts w:ascii="Times New Roman" w:hAnsi="Times New Roman" w:eastAsia="仿宋_GB2312"/>
          <w:color w:val="333333"/>
          <w:sz w:val="32"/>
          <w:szCs w:val="32"/>
          <w:shd w:val="clear" w:color="auto" w:fill="FFFFFF"/>
        </w:rPr>
        <w:t>年径流量2901万</w:t>
      </w:r>
      <w:r>
        <w:rPr>
          <w:rFonts w:hint="eastAsia" w:ascii="Times New Roman" w:hAnsi="Times New Roman" w:eastAsia="仿宋_GB2312"/>
          <w:sz w:val="32"/>
          <w:szCs w:val="32"/>
        </w:rPr>
        <w:t>立方米</w:t>
      </w:r>
      <w:r>
        <w:rPr>
          <w:rFonts w:ascii="Times New Roman" w:hAnsi="Times New Roman" w:eastAsia="仿宋_GB2312"/>
          <w:color w:val="333333"/>
          <w:sz w:val="32"/>
          <w:szCs w:val="32"/>
        </w:rPr>
        <w:t>。</w:t>
      </w:r>
      <w:r>
        <w:rPr>
          <w:rFonts w:ascii="Times New Roman" w:hAnsi="Times New Roman" w:eastAsia="仿宋_GB2312"/>
          <w:sz w:val="32"/>
          <w:szCs w:val="32"/>
        </w:rPr>
        <w:t>在三河境内流程51.2公里，东部有299.5</w:t>
      </w:r>
      <w:r>
        <w:rPr>
          <w:rFonts w:hint="eastAsia" w:ascii="Times New Roman" w:hAnsi="Times New Roman" w:eastAsia="仿宋_GB2312"/>
          <w:sz w:val="32"/>
          <w:szCs w:val="32"/>
        </w:rPr>
        <w:t>立方米</w:t>
      </w:r>
      <w:r>
        <w:rPr>
          <w:rFonts w:ascii="Times New Roman" w:hAnsi="Times New Roman" w:eastAsia="仿宋_GB2312"/>
          <w:sz w:val="32"/>
          <w:szCs w:val="32"/>
        </w:rPr>
        <w:t>的沥水排入该河。</w:t>
      </w:r>
      <w:r>
        <w:rPr>
          <w:rFonts w:ascii="Times New Roman" w:hAnsi="Times New Roman" w:eastAsia="仿宋"/>
          <w:bCs/>
          <w:sz w:val="32"/>
          <w:szCs w:val="32"/>
        </w:rPr>
        <w:t>泃</w:t>
      </w:r>
      <w:r>
        <w:rPr>
          <w:rFonts w:ascii="Times New Roman" w:hAnsi="Times New Roman" w:eastAsia="仿宋_GB2312"/>
          <w:sz w:val="32"/>
          <w:szCs w:val="32"/>
        </w:rPr>
        <w:t>河设计5年一遇洪水流量为500立方米/秒，设计10年一遇洪水流量为900立方米/秒，设计20年一遇洪水流量为1330立方米/秒，设计50年一遇洪水流量为1870立方米/秒。在三河境内，</w:t>
      </w:r>
      <w:r>
        <w:rPr>
          <w:rFonts w:ascii="Times New Roman" w:hAnsi="Times New Roman" w:eastAsia="仿宋"/>
          <w:bCs/>
          <w:sz w:val="32"/>
          <w:szCs w:val="32"/>
        </w:rPr>
        <w:t>泃</w:t>
      </w:r>
      <w:r>
        <w:rPr>
          <w:rFonts w:ascii="Times New Roman" w:hAnsi="Times New Roman" w:eastAsia="仿宋_GB2312"/>
          <w:spacing w:val="-4"/>
          <w:sz w:val="32"/>
          <w:szCs w:val="32"/>
        </w:rPr>
        <w:t>河西小汪村至三河市政公司河段为一个大弯道，河道向右侧弯曲，穿过三河市区。该段河道现状长度6.53公里，河道深槽底宽40～60米，河口间距100米左右，行洪能力仅为5年一遇标准。</w:t>
      </w:r>
    </w:p>
    <w:p>
      <w:pPr>
        <w:pStyle w:val="14"/>
        <w:autoSpaceDN w:val="0"/>
        <w:adjustRightInd w:val="0"/>
        <w:snapToGrid w:val="0"/>
        <w:spacing w:after="163" w:afterLines="50" w:line="584" w:lineRule="exact"/>
        <w:ind w:firstLine="640"/>
        <w:rPr>
          <w:rFonts w:ascii="Times New Roman" w:hAnsi="Times New Roman" w:eastAsia="仿宋_GB2312"/>
          <w:sz w:val="32"/>
          <w:szCs w:val="32"/>
        </w:rPr>
      </w:pPr>
      <w:r>
        <w:rPr>
          <w:rFonts w:ascii="Times New Roman" w:hAnsi="Times New Roman" w:eastAsia="仿宋_GB2312"/>
          <w:sz w:val="32"/>
          <w:szCs w:val="32"/>
        </w:rPr>
        <w:t>沿途设有孟各庄闸、小河沿自排闸、错桥闸、侯各庄自排闸、闵各庄自排闸、大掠马自排闸、王甫营自排闸等闸口，可以对旱涝季节河道不同水量进行调节。</w:t>
      </w:r>
    </w:p>
    <w:p>
      <w:pPr>
        <w:pStyle w:val="8"/>
        <w:widowControl w:val="0"/>
        <w:shd w:val="clear" w:color="auto" w:fill="FFFFFF"/>
        <w:autoSpaceDN w:val="0"/>
        <w:snapToGrid w:val="0"/>
        <w:spacing w:before="0" w:beforeAutospacing="0" w:after="0" w:afterAutospacing="0"/>
        <w:jc w:val="center"/>
        <w:rPr>
          <w:rFonts w:ascii="Times New Roman" w:hAnsi="Times New Roman" w:eastAsia="仿宋_GB2312" w:cs="Times New Roman"/>
          <w:sz w:val="32"/>
          <w:szCs w:val="32"/>
        </w:rPr>
      </w:pPr>
      <w:r>
        <w:rPr>
          <w:rFonts w:ascii="Times New Roman" w:hAnsi="Times New Roman" w:eastAsia="仿宋_GB2312" w:cs="Times New Roman"/>
        </w:rPr>
        <w:drawing>
          <wp:inline distT="0" distB="0" distL="114300" distR="114300">
            <wp:extent cx="4350385" cy="3429635"/>
            <wp:effectExtent l="0" t="0" r="12065" b="18415"/>
            <wp:docPr id="95" name="图片 62" descr="393208326148358023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62" descr="3932083261483580232859"/>
                    <pic:cNvPicPr>
                      <a:picLocks noChangeAspect="1"/>
                    </pic:cNvPicPr>
                  </pic:nvPicPr>
                  <pic:blipFill>
                    <a:blip r:embed="rId21"/>
                    <a:stretch>
                      <a:fillRect/>
                    </a:stretch>
                  </pic:blipFill>
                  <pic:spPr>
                    <a:xfrm>
                      <a:off x="0" y="0"/>
                      <a:ext cx="4350385" cy="3429635"/>
                    </a:xfrm>
                    <a:prstGeom prst="rect">
                      <a:avLst/>
                    </a:prstGeom>
                    <a:noFill/>
                    <a:ln w="9525">
                      <a:noFill/>
                    </a:ln>
                  </pic:spPr>
                </pic:pic>
              </a:graphicData>
            </a:graphic>
          </wp:inline>
        </w:drawing>
      </w:r>
    </w:p>
    <w:p>
      <w:pPr>
        <w:pStyle w:val="15"/>
        <w:autoSpaceDN w:val="0"/>
        <w:snapToGrid w:val="0"/>
        <w:spacing w:before="97" w:beforeLines="30" w:after="97" w:afterLines="30"/>
        <w:rPr>
          <w:rFonts w:ascii="Times New Roman" w:hAnsi="Times New Roman" w:eastAsia="仿宋_GB2312" w:cs="Times New Roman"/>
          <w:szCs w:val="32"/>
        </w:rPr>
      </w:pPr>
      <w:r>
        <w:rPr>
          <w:rFonts w:ascii="Times New Roman" w:hAnsi="Times New Roman" w:eastAsia="仿宋_GB2312" w:cs="Times New Roman"/>
          <w:szCs w:val="32"/>
        </w:rPr>
        <w:t>图2</w:t>
      </w:r>
      <w:r>
        <w:rPr>
          <w:rFonts w:hint="eastAsia" w:ascii="Times New Roman" w:hAnsi="Times New Roman" w:eastAsia="仿宋_GB2312" w:cs="Times New Roman"/>
          <w:szCs w:val="32"/>
        </w:rPr>
        <w:t>-</w:t>
      </w:r>
      <w:r>
        <w:rPr>
          <w:rFonts w:ascii="Times New Roman" w:hAnsi="Times New Roman" w:eastAsia="仿宋_GB2312" w:cs="Times New Roman"/>
          <w:szCs w:val="32"/>
        </w:rPr>
        <w:t>2　三河市</w:t>
      </w:r>
      <w:r>
        <w:rPr>
          <w:rFonts w:ascii="Times New Roman" w:hAnsi="Times New Roman" w:eastAsia="仿宋" w:cs="Times New Roman"/>
          <w:szCs w:val="32"/>
        </w:rPr>
        <w:t>泃</w:t>
      </w:r>
      <w:r>
        <w:rPr>
          <w:rFonts w:ascii="Times New Roman" w:hAnsi="Times New Roman" w:eastAsia="仿宋_GB2312" w:cs="Times New Roman"/>
          <w:szCs w:val="32"/>
        </w:rPr>
        <w:t>河位置及流向示意图</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color w:val="000000"/>
          <w:sz w:val="32"/>
          <w:szCs w:val="32"/>
        </w:rPr>
        <w:t>本方案中的水系主要包括从北到南依次有北务村干渠、创业渠、红二支河、</w:t>
      </w:r>
      <w:r>
        <w:rPr>
          <w:rFonts w:ascii="Times New Roman" w:hAnsi="Times New Roman" w:eastAsia="仿宋"/>
          <w:color w:val="000000"/>
          <w:sz w:val="32"/>
          <w:szCs w:val="32"/>
        </w:rPr>
        <w:t>泃</w:t>
      </w:r>
      <w:r>
        <w:rPr>
          <w:rFonts w:ascii="Times New Roman" w:hAnsi="Times New Roman" w:eastAsia="仿宋_GB2312"/>
          <w:color w:val="000000"/>
          <w:sz w:val="32"/>
          <w:szCs w:val="32"/>
        </w:rPr>
        <w:t>河改道工程、冯庄子干渠、红一支河、</w:t>
      </w:r>
      <w:r>
        <w:rPr>
          <w:rFonts w:ascii="Times New Roman" w:hAnsi="Times New Roman" w:eastAsia="仿宋_GB2312"/>
          <w:sz w:val="32"/>
          <w:szCs w:val="32"/>
        </w:rPr>
        <w:t>侯各庄排干渠、闵庄子排干渠及王甫营排干渠。</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北务村干渠是位于三河市城区最北边的一条东西干渠，是</w:t>
      </w:r>
      <w:r>
        <w:rPr>
          <w:rFonts w:ascii="Times New Roman" w:hAnsi="Times New Roman" w:eastAsia="仿宋"/>
          <w:color w:val="000000"/>
          <w:sz w:val="32"/>
          <w:szCs w:val="32"/>
        </w:rPr>
        <w:t>泃</w:t>
      </w:r>
      <w:r>
        <w:rPr>
          <w:rFonts w:ascii="Times New Roman" w:hAnsi="Times New Roman" w:eastAsia="仿宋_GB2312"/>
          <w:sz w:val="32"/>
          <w:szCs w:val="32"/>
        </w:rPr>
        <w:t>河进入三河市的第一条干渠，全长约13公里，西接鲍邱河，中间连接红一支、红二支河，东至北务村接入</w:t>
      </w:r>
      <w:r>
        <w:rPr>
          <w:rFonts w:ascii="Times New Roman" w:hAnsi="Times New Roman" w:eastAsia="仿宋"/>
          <w:color w:val="000000"/>
          <w:sz w:val="32"/>
          <w:szCs w:val="32"/>
        </w:rPr>
        <w:t>泃</w:t>
      </w:r>
      <w:r>
        <w:rPr>
          <w:rFonts w:ascii="Times New Roman" w:hAnsi="Times New Roman" w:eastAsia="仿宋_GB2312"/>
          <w:sz w:val="32"/>
          <w:szCs w:val="32"/>
        </w:rPr>
        <w:t>河。</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创业渠是位于三河市东北部的一条东西向水渠，西与</w:t>
      </w:r>
      <w:r>
        <w:rPr>
          <w:rFonts w:ascii="Times New Roman" w:hAnsi="Times New Roman" w:eastAsia="仿宋"/>
          <w:color w:val="000000"/>
          <w:sz w:val="32"/>
          <w:szCs w:val="32"/>
        </w:rPr>
        <w:t>泃</w:t>
      </w:r>
      <w:r>
        <w:rPr>
          <w:rFonts w:ascii="Times New Roman" w:hAnsi="Times New Roman" w:eastAsia="仿宋_GB2312"/>
          <w:sz w:val="32"/>
          <w:szCs w:val="32"/>
        </w:rPr>
        <w:t>河相接，向东三公里处有一呈南北向分渠，长约3公里，东至龙江池，全长约10公里，</w:t>
      </w:r>
      <w:r>
        <w:rPr>
          <w:rFonts w:ascii="Times New Roman" w:hAnsi="Times New Roman" w:eastAsia="仿宋_GB2312"/>
          <w:color w:val="000000"/>
          <w:sz w:val="32"/>
          <w:szCs w:val="32"/>
        </w:rPr>
        <w:t>渠上有三个扬水泵站</w:t>
      </w:r>
      <w:r>
        <w:rPr>
          <w:rFonts w:ascii="Times New Roman" w:hAnsi="Times New Roman" w:eastAsia="仿宋_GB2312"/>
          <w:sz w:val="32"/>
          <w:szCs w:val="32"/>
        </w:rPr>
        <w:t>。</w:t>
      </w:r>
    </w:p>
    <w:p>
      <w:pPr>
        <w:autoSpaceDN w:val="0"/>
        <w:adjustRightInd w:val="0"/>
        <w:snapToGrid w:val="0"/>
        <w:spacing w:line="590" w:lineRule="exact"/>
        <w:ind w:firstLine="640"/>
        <w:rPr>
          <w:rFonts w:eastAsia="仿宋_GB2312" w:cs="Times New Roman"/>
          <w:sz w:val="32"/>
          <w:szCs w:val="32"/>
        </w:rPr>
      </w:pPr>
      <w:r>
        <w:rPr>
          <w:rFonts w:eastAsia="仿宋" w:cs="Times New Roman"/>
          <w:color w:val="000000"/>
          <w:sz w:val="32"/>
          <w:szCs w:val="32"/>
        </w:rPr>
        <w:t>泃</w:t>
      </w:r>
      <w:r>
        <w:rPr>
          <w:rFonts w:eastAsia="仿宋_GB2312" w:cs="Times New Roman"/>
          <w:sz w:val="32"/>
          <w:szCs w:val="32"/>
        </w:rPr>
        <w:t>河改道工程从西小汪村西侧开始，向东南方向，经骆庄与胡桥村之间，再经小石庄与北外环路之间，到二百户村西的三河市政公司处入</w:t>
      </w:r>
      <w:r>
        <w:rPr>
          <w:rFonts w:eastAsia="仿宋" w:cs="Times New Roman"/>
          <w:color w:val="000000"/>
          <w:sz w:val="32"/>
          <w:szCs w:val="32"/>
        </w:rPr>
        <w:t>泃</w:t>
      </w:r>
      <w:r>
        <w:rPr>
          <w:rFonts w:eastAsia="仿宋_GB2312" w:cs="Times New Roman"/>
          <w:sz w:val="32"/>
          <w:szCs w:val="32"/>
        </w:rPr>
        <w:t>河原河道，工程全长2.8公里，有效的缓解了市区的防洪问题。</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红二支河是三河市境内的最主要的支流之一，流向为从西北到东南，西北连接北务村干渠，东南流入</w:t>
      </w:r>
      <w:r>
        <w:rPr>
          <w:rFonts w:eastAsia="仿宋" w:cs="Times New Roman"/>
          <w:color w:val="000000"/>
          <w:sz w:val="32"/>
          <w:szCs w:val="32"/>
        </w:rPr>
        <w:t>泃</w:t>
      </w:r>
      <w:r>
        <w:rPr>
          <w:rFonts w:eastAsia="仿宋_GB2312" w:cs="Times New Roman"/>
          <w:sz w:val="32"/>
          <w:szCs w:val="32"/>
        </w:rPr>
        <w:t>河，距离</w:t>
      </w:r>
      <w:r>
        <w:rPr>
          <w:rFonts w:eastAsia="仿宋" w:cs="Times New Roman"/>
          <w:color w:val="000000"/>
          <w:sz w:val="32"/>
          <w:szCs w:val="32"/>
        </w:rPr>
        <w:t>泃</w:t>
      </w:r>
      <w:r>
        <w:rPr>
          <w:rFonts w:eastAsia="仿宋_GB2312" w:cs="Times New Roman"/>
          <w:sz w:val="32"/>
          <w:szCs w:val="32"/>
        </w:rPr>
        <w:t>河流入口约2.5公里处有大丁河沟闸，距北务村干渠约0.5公里处的赵屠庄闸，主要用来蓄水，全长约6.5公里。</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冯庄子干渠是位于三河市中部的呈东西向的一条水渠，全长约7.5公里，西起崔家窑连接南分干渠，往东4.5公里处与红一支河相连，再往东约2公里处连接一条南北向的长约3公里的分渠，最后于</w:t>
      </w:r>
      <w:r>
        <w:rPr>
          <w:rFonts w:eastAsia="仿宋" w:cs="Times New Roman"/>
          <w:color w:val="000000"/>
          <w:sz w:val="32"/>
          <w:szCs w:val="32"/>
        </w:rPr>
        <w:t>泃</w:t>
      </w:r>
      <w:r>
        <w:rPr>
          <w:rFonts w:eastAsia="仿宋_GB2312" w:cs="Times New Roman"/>
          <w:sz w:val="32"/>
          <w:szCs w:val="32"/>
        </w:rPr>
        <w:t>阳镇汇入</w:t>
      </w:r>
      <w:r>
        <w:rPr>
          <w:rFonts w:eastAsia="仿宋" w:cs="Times New Roman"/>
          <w:color w:val="000000"/>
          <w:sz w:val="32"/>
          <w:szCs w:val="32"/>
        </w:rPr>
        <w:t>泃</w:t>
      </w:r>
      <w:r>
        <w:rPr>
          <w:rFonts w:eastAsia="仿宋_GB2312" w:cs="Times New Roman"/>
          <w:sz w:val="32"/>
          <w:szCs w:val="32"/>
        </w:rPr>
        <w:t>河。</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红一支河是三河市水系内另外一条主要支流，其通过人工渠与</w:t>
      </w:r>
      <w:r>
        <w:rPr>
          <w:rFonts w:eastAsia="仿宋" w:cs="Times New Roman"/>
          <w:color w:val="000000"/>
          <w:sz w:val="32"/>
          <w:szCs w:val="32"/>
        </w:rPr>
        <w:t>泃</w:t>
      </w:r>
      <w:r>
        <w:rPr>
          <w:rFonts w:eastAsia="仿宋_GB2312" w:cs="Times New Roman"/>
          <w:sz w:val="32"/>
          <w:szCs w:val="32"/>
        </w:rPr>
        <w:t>河相连，人工渠呈东西向长约5公里。红一支河从西北部的大坝王庄起从北向南依次连接北务村干渠、幸福渠、冯庄子渠、南分干渠于李秉全处与人工渠相接，全长约20公里。</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侯各庄排干渠是位于三河市东部的一条东西流向的干渠，全长约4公里，西向连接陈司渠，东至侯各庄入</w:t>
      </w:r>
      <w:r>
        <w:rPr>
          <w:rFonts w:eastAsia="仿宋" w:cs="Times New Roman"/>
          <w:color w:val="000000"/>
          <w:sz w:val="32"/>
          <w:szCs w:val="32"/>
        </w:rPr>
        <w:t>泃</w:t>
      </w:r>
      <w:r>
        <w:rPr>
          <w:rFonts w:eastAsia="仿宋_GB2312" w:cs="Times New Roman"/>
          <w:sz w:val="32"/>
          <w:szCs w:val="32"/>
        </w:rPr>
        <w:t>河。</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闵庄子排干渠是位于三河市城区东边的南北向的水渠，北起小赵庄，往南2.5公里有一条长约5公里的分渠，南至闵庄子与</w:t>
      </w:r>
      <w:r>
        <w:rPr>
          <w:rFonts w:eastAsia="仿宋" w:cs="Times New Roman"/>
          <w:color w:val="000000"/>
          <w:sz w:val="32"/>
          <w:szCs w:val="32"/>
        </w:rPr>
        <w:t>泃</w:t>
      </w:r>
      <w:r>
        <w:rPr>
          <w:rFonts w:eastAsia="仿宋_GB2312" w:cs="Times New Roman"/>
          <w:sz w:val="32"/>
          <w:szCs w:val="32"/>
        </w:rPr>
        <w:t>河相连。</w:t>
      </w:r>
    </w:p>
    <w:p>
      <w:pPr>
        <w:autoSpaceDN w:val="0"/>
        <w:adjustRightInd w:val="0"/>
        <w:snapToGrid w:val="0"/>
        <w:spacing w:after="97" w:afterLines="30" w:line="590" w:lineRule="exact"/>
        <w:ind w:firstLine="640"/>
        <w:rPr>
          <w:rFonts w:eastAsia="仿宋_GB2312" w:cs="Times New Roman"/>
          <w:sz w:val="32"/>
          <w:szCs w:val="32"/>
        </w:rPr>
      </w:pPr>
      <w:r>
        <w:rPr>
          <w:rFonts w:eastAsia="仿宋_GB2312" w:cs="Times New Roman"/>
          <w:sz w:val="32"/>
          <w:szCs w:val="32"/>
        </w:rPr>
        <w:t>王甫营排干渠是一条位于三河市东南部的一条水渠，主要有两部分，东西向的排干渠汇于王甫营站前闸，经南北向的水渠汇入</w:t>
      </w:r>
      <w:r>
        <w:rPr>
          <w:rFonts w:eastAsia="仿宋" w:cs="Times New Roman"/>
          <w:color w:val="000000"/>
          <w:sz w:val="32"/>
          <w:szCs w:val="32"/>
        </w:rPr>
        <w:t>泃</w:t>
      </w:r>
      <w:r>
        <w:rPr>
          <w:rFonts w:eastAsia="仿宋_GB2312" w:cs="Times New Roman"/>
          <w:sz w:val="32"/>
          <w:szCs w:val="32"/>
        </w:rPr>
        <w:t>河，全线长约7公里。</w:t>
      </w:r>
    </w:p>
    <w:p>
      <w:pPr>
        <w:autoSpaceDN w:val="0"/>
        <w:snapToGrid w:val="0"/>
        <w:spacing w:before="489" w:beforeLines="150" w:line="240" w:lineRule="auto"/>
        <w:ind w:firstLine="0" w:firstLineChars="0"/>
        <w:jc w:val="center"/>
        <w:rPr>
          <w:rFonts w:eastAsia="仿宋_GB2312" w:cs="Times New Roman"/>
          <w:sz w:val="32"/>
          <w:szCs w:val="32"/>
        </w:rPr>
      </w:pPr>
      <w:r>
        <w:drawing>
          <wp:anchor distT="0" distB="0" distL="114300" distR="114300" simplePos="0" relativeHeight="251667456" behindDoc="0" locked="0" layoutInCell="1" allowOverlap="1">
            <wp:simplePos x="0" y="0"/>
            <wp:positionH relativeFrom="page">
              <wp:posOffset>1355090</wp:posOffset>
            </wp:positionH>
            <wp:positionV relativeFrom="page">
              <wp:posOffset>4991100</wp:posOffset>
            </wp:positionV>
            <wp:extent cx="4874895" cy="4725035"/>
            <wp:effectExtent l="0" t="0" r="1905" b="18415"/>
            <wp:wrapSquare wrapText="bothSides"/>
            <wp:docPr id="97" name="图片 6" descr="360713270148358023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6" descr="3607132701483580233000"/>
                    <pic:cNvPicPr>
                      <a:picLocks noChangeAspect="1"/>
                    </pic:cNvPicPr>
                  </pic:nvPicPr>
                  <pic:blipFill>
                    <a:blip r:embed="rId22"/>
                    <a:stretch>
                      <a:fillRect/>
                    </a:stretch>
                  </pic:blipFill>
                  <pic:spPr>
                    <a:xfrm>
                      <a:off x="0" y="0"/>
                      <a:ext cx="4874895" cy="4725035"/>
                    </a:xfrm>
                    <a:prstGeom prst="rect">
                      <a:avLst/>
                    </a:prstGeom>
                    <a:noFill/>
                    <a:ln w="9525">
                      <a:noFill/>
                    </a:ln>
                  </pic:spPr>
                </pic:pic>
              </a:graphicData>
            </a:graphic>
          </wp:anchor>
        </w:drawing>
      </w:r>
    </w:p>
    <w:p>
      <w:pPr>
        <w:autoSpaceDN w:val="0"/>
        <w:snapToGrid w:val="0"/>
        <w:spacing w:after="326" w:afterLines="100" w:line="240" w:lineRule="auto"/>
        <w:ind w:firstLine="0" w:firstLineChars="0"/>
        <w:jc w:val="center"/>
        <w:rPr>
          <w:rFonts w:eastAsia="仿宋_GB2312" w:cs="Times New Roman"/>
          <w:sz w:val="32"/>
          <w:szCs w:val="32"/>
        </w:rPr>
      </w:pPr>
      <w:r>
        <w:rPr>
          <w:rFonts w:eastAsia="仿宋_GB2312" w:cs="Times New Roman"/>
        </w:rPr>
        <w:drawing>
          <wp:inline distT="0" distB="0" distL="114300" distR="114300">
            <wp:extent cx="5513070" cy="4333240"/>
            <wp:effectExtent l="0" t="0" r="11430" b="10160"/>
            <wp:docPr id="98" name="图片 63" descr="46176205314835802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3" descr="4617620531483580233046"/>
                    <pic:cNvPicPr>
                      <a:picLocks noChangeAspect="1"/>
                    </pic:cNvPicPr>
                  </pic:nvPicPr>
                  <pic:blipFill>
                    <a:blip r:embed="rId23"/>
                    <a:stretch>
                      <a:fillRect/>
                    </a:stretch>
                  </pic:blipFill>
                  <pic:spPr>
                    <a:xfrm>
                      <a:off x="0" y="0"/>
                      <a:ext cx="5513070" cy="4333240"/>
                    </a:xfrm>
                    <a:prstGeom prst="rect">
                      <a:avLst/>
                    </a:prstGeom>
                    <a:noFill/>
                    <a:ln w="9525">
                      <a:noFill/>
                    </a:ln>
                  </pic:spPr>
                </pic:pic>
              </a:graphicData>
            </a:graphic>
          </wp:inline>
        </w:drawing>
      </w:r>
    </w:p>
    <w:p>
      <w:pPr>
        <w:pStyle w:val="15"/>
        <w:autoSpaceDN w:val="0"/>
        <w:adjustRightInd w:val="0"/>
        <w:snapToGrid w:val="0"/>
        <w:spacing w:line="584" w:lineRule="exact"/>
        <w:rPr>
          <w:rFonts w:ascii="Times New Roman" w:hAnsi="Times New Roman" w:eastAsia="仿宋_GB2312" w:cs="Times New Roman"/>
          <w:szCs w:val="32"/>
        </w:rPr>
      </w:pPr>
      <w:r>
        <w:rPr>
          <w:rFonts w:ascii="Times New Roman" w:hAnsi="Times New Roman" w:eastAsia="仿宋_GB2312" w:cs="Times New Roman"/>
          <w:szCs w:val="32"/>
        </w:rPr>
        <w:t>图2</w:t>
      </w:r>
      <w:r>
        <w:rPr>
          <w:rFonts w:hint="eastAsia" w:ascii="Times New Roman" w:hAnsi="Times New Roman" w:eastAsia="仿宋_GB2312" w:cs="Times New Roman"/>
          <w:szCs w:val="32"/>
        </w:rPr>
        <w:t>-</w:t>
      </w:r>
      <w:r>
        <w:rPr>
          <w:rFonts w:ascii="Times New Roman" w:hAnsi="Times New Roman" w:eastAsia="仿宋_GB2312" w:cs="Times New Roman"/>
          <w:szCs w:val="32"/>
        </w:rPr>
        <w:t>3　三河市</w:t>
      </w:r>
      <w:r>
        <w:rPr>
          <w:rFonts w:ascii="Times New Roman" w:hAnsi="Times New Roman" w:eastAsia="仿宋" w:cs="Times New Roman"/>
          <w:szCs w:val="32"/>
        </w:rPr>
        <w:t>泃</w:t>
      </w:r>
      <w:r>
        <w:rPr>
          <w:rFonts w:ascii="Times New Roman" w:hAnsi="Times New Roman" w:eastAsia="仿宋_GB2312" w:cs="Times New Roman"/>
          <w:szCs w:val="32"/>
        </w:rPr>
        <w:t>河及其相关干渠水系示意图</w:t>
      </w:r>
    </w:p>
    <w:p>
      <w:pPr>
        <w:pStyle w:val="3"/>
        <w:ind w:firstLine="643"/>
        <w:rPr>
          <w:rFonts w:eastAsia="楷体_GB2312"/>
        </w:rPr>
      </w:pPr>
      <w:bookmarkStart w:id="30" w:name="_Toc467753400"/>
      <w:bookmarkStart w:id="31" w:name="_Toc23788297"/>
      <w:r>
        <w:rPr>
          <w:rFonts w:eastAsia="楷体_GB2312"/>
        </w:rPr>
        <w:t>2.5水资源</w:t>
      </w:r>
      <w:bookmarkEnd w:id="30"/>
      <w:r>
        <w:rPr>
          <w:rFonts w:eastAsia="楷体_GB2312"/>
        </w:rPr>
        <w:t>概况</w:t>
      </w:r>
      <w:bookmarkEnd w:id="31"/>
    </w:p>
    <w:p>
      <w:pPr>
        <w:pStyle w:val="17"/>
        <w:autoSpaceDN w:val="0"/>
        <w:adjustRightInd w:val="0"/>
        <w:snapToGrid w:val="0"/>
        <w:spacing w:line="584"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2015年，三河市全市多年平均水资源总量为10843万立方米，地下水资源量为9336万立方米，地表水资源量为6500万立方米（可利用量为3786万立方米）。人均水资源量为208立方米，约为全国平均值2200立方米的1/10，低于全省人均310立方米的水平；亩均水资源量206立方米，约为全国平均值1437立方米的1/7，低于全省人均211立方米的水平，略高于廊坊市人均141立方米的水平。</w:t>
      </w:r>
    </w:p>
    <w:p>
      <w:pPr>
        <w:pStyle w:val="4"/>
        <w:ind w:firstLine="643"/>
      </w:pPr>
      <w:bookmarkStart w:id="32" w:name="_Toc467753401"/>
      <w:bookmarkStart w:id="33" w:name="_Toc23788298"/>
      <w:r>
        <w:t>2.5.1地表水资源状况</w:t>
      </w:r>
      <w:bookmarkEnd w:id="32"/>
      <w:bookmarkEnd w:id="33"/>
    </w:p>
    <w:p>
      <w:pPr>
        <w:pStyle w:val="17"/>
        <w:autoSpaceDN w:val="0"/>
        <w:adjustRightInd w:val="0"/>
        <w:snapToGrid w:val="0"/>
        <w:spacing w:line="584"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地表水资源包括大气降水所产生的地表径流和入境客水，多年平均自产和入境地表水资源总量为6500万立方米，可利用量为3786万立方米。</w:t>
      </w:r>
    </w:p>
    <w:p>
      <w:pPr>
        <w:pStyle w:val="17"/>
        <w:autoSpaceDN w:val="0"/>
        <w:adjustRightInd w:val="0"/>
        <w:snapToGrid w:val="0"/>
        <w:spacing w:after="97" w:afterLines="30" w:line="584"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三河市多年平均年降水量623.9毫米，2014年总降水量499.3毫米，约为32105万</w:t>
      </w:r>
      <w:r>
        <w:rPr>
          <w:rFonts w:hint="eastAsia" w:ascii="Times New Roman" w:hAnsi="Times New Roman" w:eastAsia="仿宋_GB2312" w:cs="Times New Roman"/>
          <w:sz w:val="32"/>
          <w:szCs w:val="32"/>
        </w:rPr>
        <w:t>立方米</w:t>
      </w:r>
      <w:r>
        <w:rPr>
          <w:rFonts w:ascii="Times New Roman" w:hAnsi="Times New Roman" w:eastAsia="仿宋_GB2312" w:cs="Times New Roman"/>
          <w:sz w:val="32"/>
          <w:szCs w:val="32"/>
        </w:rPr>
        <w:t>，与上年降水量35738万</w:t>
      </w:r>
      <w:r>
        <w:rPr>
          <w:rFonts w:hint="eastAsia" w:ascii="Times New Roman" w:hAnsi="Times New Roman" w:eastAsia="仿宋_GB2312" w:cs="Times New Roman"/>
          <w:sz w:val="32"/>
          <w:szCs w:val="32"/>
        </w:rPr>
        <w:t>立方米</w:t>
      </w:r>
      <w:r>
        <w:rPr>
          <w:rFonts w:ascii="Times New Roman" w:hAnsi="Times New Roman" w:eastAsia="仿宋_GB2312" w:cs="Times New Roman"/>
          <w:sz w:val="32"/>
          <w:szCs w:val="32"/>
        </w:rPr>
        <w:t>相比降低10.2%，与多年平均降水量比较降低20%，丰枯等级属于枯水。</w:t>
      </w:r>
    </w:p>
    <w:p>
      <w:pPr>
        <w:pStyle w:val="17"/>
        <w:autoSpaceDN w:val="0"/>
        <w:snapToGrid w:val="0"/>
        <w:spacing w:line="240" w:lineRule="auto"/>
        <w:ind w:firstLine="0" w:firstLineChars="0"/>
        <w:jc w:val="center"/>
        <w:rPr>
          <w:rFonts w:ascii="Times New Roman" w:hAnsi="Times New Roman" w:eastAsia="仿宋_GB2312" w:cs="Times New Roman"/>
          <w:sz w:val="32"/>
          <w:szCs w:val="32"/>
        </w:rPr>
      </w:pPr>
      <w:r>
        <w:rPr>
          <w:rFonts w:ascii="Times New Roman" w:hAnsi="Times New Roman" w:cs="Times New Roman"/>
        </w:rPr>
        <w:drawing>
          <wp:inline distT="0" distB="0" distL="114300" distR="114300">
            <wp:extent cx="5290185" cy="2689225"/>
            <wp:effectExtent l="0" t="0" r="5715" b="15875"/>
            <wp:docPr id="99" name="图片 64" descr="达标方案调整_页面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64" descr="达标方案调整_页面_01"/>
                    <pic:cNvPicPr>
                      <a:picLocks noChangeAspect="1"/>
                    </pic:cNvPicPr>
                  </pic:nvPicPr>
                  <pic:blipFill>
                    <a:blip r:embed="rId24"/>
                    <a:stretch>
                      <a:fillRect/>
                    </a:stretch>
                  </pic:blipFill>
                  <pic:spPr>
                    <a:xfrm>
                      <a:off x="0" y="0"/>
                      <a:ext cx="5290185" cy="2689225"/>
                    </a:xfrm>
                    <a:prstGeom prst="rect">
                      <a:avLst/>
                    </a:prstGeom>
                    <a:noFill/>
                    <a:ln w="9525">
                      <a:noFill/>
                    </a:ln>
                  </pic:spPr>
                </pic:pic>
              </a:graphicData>
            </a:graphic>
          </wp:inline>
        </w:drawing>
      </w:r>
    </w:p>
    <w:p>
      <w:pPr>
        <w:pStyle w:val="15"/>
        <w:autoSpaceDN w:val="0"/>
        <w:snapToGrid w:val="0"/>
        <w:spacing w:before="163" w:beforeLines="50" w:after="97" w:afterLines="30"/>
        <w:rPr>
          <w:rFonts w:ascii="Times New Roman" w:hAnsi="Times New Roman" w:eastAsia="仿宋_GB2312" w:cs="Times New Roman"/>
          <w:szCs w:val="32"/>
        </w:rPr>
      </w:pPr>
      <w:r>
        <w:rPr>
          <w:rFonts w:ascii="Times New Roman" w:hAnsi="Times New Roman" w:eastAsia="仿宋_GB2312" w:cs="Times New Roman"/>
          <w:szCs w:val="32"/>
        </w:rPr>
        <w:t>图2</w:t>
      </w:r>
      <w:r>
        <w:rPr>
          <w:rFonts w:hint="eastAsia" w:ascii="Times New Roman" w:hAnsi="Times New Roman" w:eastAsia="仿宋_GB2312" w:cs="Times New Roman"/>
          <w:szCs w:val="32"/>
        </w:rPr>
        <w:t>-</w:t>
      </w:r>
      <w:r>
        <w:rPr>
          <w:rFonts w:ascii="Times New Roman" w:hAnsi="Times New Roman" w:eastAsia="仿宋_GB2312" w:cs="Times New Roman"/>
          <w:szCs w:val="32"/>
        </w:rPr>
        <w:t>4　2014年三河降水量分布（毫米）</w:t>
      </w:r>
    </w:p>
    <w:p>
      <w:pPr>
        <w:pStyle w:val="14"/>
        <w:autoSpaceDN w:val="0"/>
        <w:snapToGrid w:val="0"/>
        <w:spacing w:line="584" w:lineRule="exact"/>
        <w:ind w:firstLine="640"/>
        <w:rPr>
          <w:rFonts w:ascii="Times New Roman" w:hAnsi="Times New Roman" w:eastAsia="仿宋_GB2312"/>
          <w:sz w:val="32"/>
          <w:szCs w:val="32"/>
        </w:rPr>
      </w:pPr>
      <w:r>
        <w:rPr>
          <w:rFonts w:ascii="Times New Roman" w:hAnsi="Times New Roman" w:eastAsia="仿宋_GB2312"/>
          <w:sz w:val="32"/>
          <w:szCs w:val="32"/>
        </w:rPr>
        <w:t>2014年三河市月降水量如图所示。从数据可知，三河市一年内降水不均，水量主要集中在6</w:t>
      </w:r>
      <w:r>
        <w:rPr>
          <w:rFonts w:hint="eastAsia" w:ascii="Times New Roman" w:hAnsi="Times New Roman" w:eastAsia="仿宋_GB2312"/>
          <w:sz w:val="32"/>
          <w:szCs w:val="32"/>
        </w:rPr>
        <w:t>—</w:t>
      </w:r>
      <w:r>
        <w:rPr>
          <w:rFonts w:ascii="Times New Roman" w:hAnsi="Times New Roman" w:eastAsia="仿宋_GB2312"/>
          <w:sz w:val="32"/>
          <w:szCs w:val="32"/>
        </w:rPr>
        <w:t>9月份，9月份降水量最高，为85.2毫米，1月份降水量最低，为0.2毫米，汛期降水量占全年降水量的74.1%。</w:t>
      </w:r>
    </w:p>
    <w:p>
      <w:pPr>
        <w:pStyle w:val="17"/>
        <w:autoSpaceDN w:val="0"/>
        <w:snapToGrid w:val="0"/>
        <w:spacing w:line="584"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根据《2014年廊坊市水资源公报》数据，三河市地表水资源量如下表所示，与2013年相比水资源量减少了74.4%，说明水资源量年际变化较大。加之降雨量月份比较集中，因此不利于蓄水及合理利用，同时加重了丰水年除涝的负担。</w:t>
      </w:r>
    </w:p>
    <w:p>
      <w:pPr>
        <w:spacing w:after="163" w:afterLines="50"/>
        <w:ind w:firstLine="0" w:firstLineChars="0"/>
        <w:jc w:val="center"/>
        <w:rPr>
          <w:rFonts w:eastAsia="黑体" w:cs="Times New Roman"/>
          <w:sz w:val="32"/>
          <w:szCs w:val="32"/>
        </w:rPr>
      </w:pPr>
      <w:r>
        <w:rPr>
          <w:rFonts w:eastAsia="黑体" w:cs="Times New Roman"/>
          <w:sz w:val="32"/>
          <w:szCs w:val="32"/>
        </w:rPr>
        <w:t>表2</w:t>
      </w:r>
      <w:r>
        <w:rPr>
          <w:rFonts w:hint="eastAsia" w:eastAsia="黑体" w:cs="Times New Roman"/>
          <w:sz w:val="32"/>
          <w:szCs w:val="32"/>
        </w:rPr>
        <w:t>-</w:t>
      </w:r>
      <w:r>
        <w:rPr>
          <w:rFonts w:eastAsia="黑体" w:cs="Times New Roman"/>
          <w:sz w:val="32"/>
          <w:szCs w:val="32"/>
        </w:rPr>
        <w:t>2　2014年三河市地表水资源量表</w:t>
      </w:r>
    </w:p>
    <w:tbl>
      <w:tblPr>
        <w:tblStyle w:val="13"/>
        <w:tblW w:w="8891" w:type="dxa"/>
        <w:tblInd w:w="108"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18"/>
        <w:gridCol w:w="842"/>
        <w:gridCol w:w="1440"/>
        <w:gridCol w:w="869"/>
        <w:gridCol w:w="1302"/>
        <w:gridCol w:w="1540"/>
        <w:gridCol w:w="1021"/>
        <w:gridCol w:w="1159"/>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1078" w:hRule="atLeast"/>
        </w:trPr>
        <w:tc>
          <w:tcPr>
            <w:tcW w:w="718"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河名</w:t>
            </w:r>
          </w:p>
        </w:tc>
        <w:tc>
          <w:tcPr>
            <w:tcW w:w="842"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计算</w:t>
            </w:r>
          </w:p>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面积</w:t>
            </w:r>
          </w:p>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color w:val="000000"/>
                <w:sz w:val="21"/>
                <w:szCs w:val="21"/>
              </w:rPr>
              <w:t>（</w:t>
            </w:r>
            <w:r>
              <w:rPr>
                <w:rFonts w:ascii="Times New Roman" w:hAnsi="Times New Roman" w:eastAsia="仿宋_GB2312" w:cs="Times New Roman"/>
                <w:sz w:val="21"/>
                <w:szCs w:val="21"/>
              </w:rPr>
              <w:t>km</w:t>
            </w:r>
            <w:r>
              <w:rPr>
                <w:rFonts w:ascii="Times New Roman" w:hAnsi="Times New Roman" w:eastAsia="仿宋_GB2312" w:cs="Times New Roman"/>
                <w:sz w:val="21"/>
                <w:szCs w:val="21"/>
                <w:vertAlign w:val="superscript"/>
              </w:rPr>
              <w:t>2</w:t>
            </w:r>
            <w:r>
              <w:rPr>
                <w:rFonts w:ascii="Times New Roman" w:hAnsi="Times New Roman" w:eastAsia="仿宋_GB2312" w:cs="Times New Roman"/>
                <w:color w:val="000000"/>
                <w:sz w:val="21"/>
                <w:szCs w:val="21"/>
              </w:rPr>
              <w:t>）</w:t>
            </w:r>
          </w:p>
        </w:tc>
        <w:tc>
          <w:tcPr>
            <w:tcW w:w="1440"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地表水资源量</w:t>
            </w:r>
          </w:p>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（万m</w:t>
            </w:r>
            <w:r>
              <w:rPr>
                <w:rFonts w:ascii="Times New Roman" w:hAnsi="Times New Roman" w:eastAsia="仿宋_GB2312" w:cs="Times New Roman"/>
                <w:color w:val="000000"/>
                <w:sz w:val="21"/>
                <w:szCs w:val="21"/>
                <w:vertAlign w:val="superscript"/>
              </w:rPr>
              <w:t>3</w:t>
            </w:r>
            <w:r>
              <w:rPr>
                <w:rFonts w:ascii="Times New Roman" w:hAnsi="Times New Roman" w:eastAsia="仿宋_GB2312" w:cs="Times New Roman"/>
                <w:color w:val="000000"/>
                <w:sz w:val="21"/>
                <w:szCs w:val="21"/>
              </w:rPr>
              <w:t>）</w:t>
            </w:r>
          </w:p>
        </w:tc>
        <w:tc>
          <w:tcPr>
            <w:tcW w:w="869"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径流深</w:t>
            </w:r>
          </w:p>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（mm）</w:t>
            </w:r>
          </w:p>
        </w:tc>
        <w:tc>
          <w:tcPr>
            <w:tcW w:w="1302"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上年地表</w:t>
            </w:r>
          </w:p>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水资源量</w:t>
            </w:r>
          </w:p>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（万m</w:t>
            </w:r>
            <w:r>
              <w:rPr>
                <w:rFonts w:ascii="Times New Roman" w:hAnsi="Times New Roman" w:eastAsia="仿宋_GB2312" w:cs="Times New Roman"/>
                <w:color w:val="000000"/>
                <w:sz w:val="21"/>
                <w:szCs w:val="21"/>
                <w:vertAlign w:val="superscript"/>
              </w:rPr>
              <w:t>3</w:t>
            </w:r>
            <w:r>
              <w:rPr>
                <w:rFonts w:ascii="Times New Roman" w:hAnsi="Times New Roman" w:eastAsia="仿宋_GB2312" w:cs="Times New Roman"/>
                <w:color w:val="000000"/>
                <w:sz w:val="21"/>
                <w:szCs w:val="21"/>
              </w:rPr>
              <w:t>）</w:t>
            </w:r>
          </w:p>
        </w:tc>
        <w:tc>
          <w:tcPr>
            <w:tcW w:w="1540"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多年平均</w:t>
            </w:r>
          </w:p>
          <w:p>
            <w:pPr>
              <w:pStyle w:val="15"/>
              <w:autoSpaceDN w:val="0"/>
              <w:snapToGrid w:val="0"/>
              <w:ind w:left="-29" w:leftChars="-12" w:right="-19" w:rightChars="-8"/>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地表水资源量</w:t>
            </w:r>
          </w:p>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（万m</w:t>
            </w:r>
            <w:r>
              <w:rPr>
                <w:rFonts w:ascii="Times New Roman" w:hAnsi="Times New Roman" w:eastAsia="仿宋_GB2312" w:cs="Times New Roman"/>
                <w:color w:val="000000"/>
                <w:sz w:val="21"/>
                <w:szCs w:val="21"/>
                <w:vertAlign w:val="superscript"/>
              </w:rPr>
              <w:t>3</w:t>
            </w:r>
            <w:r>
              <w:rPr>
                <w:rFonts w:ascii="Times New Roman" w:hAnsi="Times New Roman" w:eastAsia="仿宋_GB2312" w:cs="Times New Roman"/>
                <w:color w:val="000000"/>
                <w:sz w:val="21"/>
                <w:szCs w:val="21"/>
              </w:rPr>
              <w:t>）</w:t>
            </w:r>
          </w:p>
        </w:tc>
        <w:tc>
          <w:tcPr>
            <w:tcW w:w="1021"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与上年</w:t>
            </w:r>
          </w:p>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比较</w:t>
            </w:r>
          </w:p>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w:t>
            </w:r>
          </w:p>
        </w:tc>
        <w:tc>
          <w:tcPr>
            <w:tcW w:w="1159"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与多年</w:t>
            </w:r>
          </w:p>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平均比较（%）</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939" w:hRule="atLeast"/>
        </w:trPr>
        <w:tc>
          <w:tcPr>
            <w:tcW w:w="718"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微软雅黑"/>
                <w:sz w:val="21"/>
                <w:szCs w:val="21"/>
              </w:rPr>
              <w:t>泃</w:t>
            </w:r>
            <w:r>
              <w:rPr>
                <w:rFonts w:ascii="Times New Roman" w:hAnsi="Times New Roman" w:eastAsia="仿宋_GB2312"/>
                <w:sz w:val="21"/>
                <w:szCs w:val="21"/>
              </w:rPr>
              <w:t>河</w:t>
            </w:r>
          </w:p>
        </w:tc>
        <w:tc>
          <w:tcPr>
            <w:tcW w:w="842"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643</w:t>
            </w:r>
          </w:p>
        </w:tc>
        <w:tc>
          <w:tcPr>
            <w:tcW w:w="1440"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6"/>
              <w:autoSpaceDN w:val="0"/>
              <w:snapToGrid w:val="0"/>
              <w:rPr>
                <w:rFonts w:ascii="Times New Roman" w:hAnsi="Times New Roman" w:eastAsia="仿宋_GB2312"/>
                <w:color w:val="000000"/>
                <w:sz w:val="21"/>
                <w:szCs w:val="21"/>
              </w:rPr>
            </w:pPr>
            <w:r>
              <w:rPr>
                <w:rFonts w:ascii="Times New Roman" w:hAnsi="Times New Roman" w:eastAsia="仿宋_GB2312"/>
                <w:color w:val="000000"/>
                <w:sz w:val="21"/>
                <w:szCs w:val="21"/>
              </w:rPr>
              <w:t>268</w:t>
            </w:r>
          </w:p>
        </w:tc>
        <w:tc>
          <w:tcPr>
            <w:tcW w:w="869"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6"/>
              <w:autoSpaceDN w:val="0"/>
              <w:snapToGrid w:val="0"/>
              <w:rPr>
                <w:rFonts w:ascii="Times New Roman" w:hAnsi="Times New Roman" w:eastAsia="仿宋_GB2312"/>
                <w:color w:val="000000"/>
                <w:sz w:val="21"/>
                <w:szCs w:val="21"/>
              </w:rPr>
            </w:pPr>
            <w:r>
              <w:rPr>
                <w:rFonts w:ascii="Times New Roman" w:hAnsi="Times New Roman" w:eastAsia="仿宋_GB2312"/>
                <w:color w:val="000000"/>
                <w:sz w:val="21"/>
                <w:szCs w:val="21"/>
              </w:rPr>
              <w:t>4.2</w:t>
            </w:r>
          </w:p>
        </w:tc>
        <w:tc>
          <w:tcPr>
            <w:tcW w:w="1302"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6"/>
              <w:autoSpaceDN w:val="0"/>
              <w:snapToGrid w:val="0"/>
              <w:rPr>
                <w:rFonts w:ascii="Times New Roman" w:hAnsi="Times New Roman" w:eastAsia="仿宋_GB2312"/>
                <w:color w:val="000000"/>
                <w:sz w:val="21"/>
                <w:szCs w:val="21"/>
              </w:rPr>
            </w:pPr>
            <w:r>
              <w:rPr>
                <w:rFonts w:ascii="Times New Roman" w:hAnsi="Times New Roman" w:eastAsia="仿宋_GB2312"/>
                <w:color w:val="000000"/>
                <w:sz w:val="21"/>
                <w:szCs w:val="21"/>
              </w:rPr>
              <w:t>1048</w:t>
            </w:r>
          </w:p>
        </w:tc>
        <w:tc>
          <w:tcPr>
            <w:tcW w:w="1540"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6"/>
              <w:autoSpaceDN w:val="0"/>
              <w:snapToGrid w:val="0"/>
              <w:rPr>
                <w:rFonts w:ascii="Times New Roman" w:hAnsi="Times New Roman" w:eastAsia="仿宋_GB2312"/>
                <w:color w:val="000000"/>
                <w:sz w:val="21"/>
                <w:szCs w:val="21"/>
              </w:rPr>
            </w:pPr>
            <w:r>
              <w:rPr>
                <w:rFonts w:ascii="Times New Roman" w:hAnsi="Times New Roman" w:eastAsia="仿宋_GB2312"/>
                <w:color w:val="000000"/>
                <w:sz w:val="21"/>
                <w:szCs w:val="21"/>
              </w:rPr>
              <w:t>3684</w:t>
            </w:r>
          </w:p>
        </w:tc>
        <w:tc>
          <w:tcPr>
            <w:tcW w:w="1021"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6"/>
              <w:autoSpaceDN w:val="0"/>
              <w:snapToGrid w:val="0"/>
              <w:rPr>
                <w:rFonts w:ascii="Times New Roman" w:hAnsi="Times New Roman" w:eastAsia="仿宋_GB2312"/>
                <w:color w:val="000000"/>
                <w:sz w:val="21"/>
                <w:szCs w:val="21"/>
              </w:rPr>
            </w:pPr>
            <w:r>
              <w:rPr>
                <w:rFonts w:hint="eastAsia" w:ascii="Times New Roman" w:hAnsi="Times New Roman" w:eastAsia="仿宋_GB2312"/>
                <w:color w:val="000000"/>
                <w:sz w:val="21"/>
                <w:szCs w:val="21"/>
              </w:rPr>
              <w:t>-</w:t>
            </w:r>
            <w:r>
              <w:rPr>
                <w:rFonts w:ascii="Times New Roman" w:hAnsi="Times New Roman" w:eastAsia="仿宋_GB2312"/>
                <w:color w:val="000000"/>
                <w:sz w:val="21"/>
                <w:szCs w:val="21"/>
              </w:rPr>
              <w:t>74.4</w:t>
            </w:r>
          </w:p>
        </w:tc>
        <w:tc>
          <w:tcPr>
            <w:tcW w:w="1159" w:type="dxa"/>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pPr>
              <w:pStyle w:val="16"/>
              <w:autoSpaceDN w:val="0"/>
              <w:snapToGrid w:val="0"/>
              <w:rPr>
                <w:rFonts w:ascii="Times New Roman" w:hAnsi="Times New Roman" w:eastAsia="仿宋_GB2312"/>
                <w:color w:val="000000"/>
                <w:sz w:val="21"/>
                <w:szCs w:val="21"/>
              </w:rPr>
            </w:pPr>
            <w:r>
              <w:rPr>
                <w:rFonts w:hint="eastAsia" w:ascii="Times New Roman" w:hAnsi="Times New Roman" w:eastAsia="仿宋_GB2312"/>
                <w:color w:val="000000"/>
                <w:sz w:val="21"/>
                <w:szCs w:val="21"/>
              </w:rPr>
              <w:t>-</w:t>
            </w:r>
            <w:r>
              <w:rPr>
                <w:rFonts w:ascii="Times New Roman" w:hAnsi="Times New Roman" w:eastAsia="仿宋_GB2312"/>
                <w:color w:val="000000"/>
                <w:sz w:val="21"/>
                <w:szCs w:val="21"/>
              </w:rPr>
              <w:t>92.7</w:t>
            </w:r>
          </w:p>
        </w:tc>
      </w:tr>
    </w:tbl>
    <w:p>
      <w:pPr>
        <w:autoSpaceDN w:val="0"/>
        <w:snapToGrid w:val="0"/>
        <w:spacing w:line="584" w:lineRule="exact"/>
        <w:ind w:firstLine="640"/>
        <w:rPr>
          <w:rFonts w:eastAsia="仿宋_GB2312" w:cs="Times New Roman"/>
          <w:sz w:val="32"/>
          <w:szCs w:val="32"/>
        </w:rPr>
      </w:pPr>
      <w:r>
        <w:rPr>
          <w:rFonts w:eastAsia="仿宋_GB2312" w:cs="Times New Roman"/>
          <w:sz w:val="32"/>
          <w:szCs w:val="32"/>
        </w:rPr>
        <w:t>按照《三河市水利十三五规划》，2015年三河市地表水资源总量及可利用量见下表。</w:t>
      </w:r>
    </w:p>
    <w:p>
      <w:pPr>
        <w:spacing w:after="163" w:afterLines="50"/>
        <w:ind w:firstLine="0" w:firstLineChars="0"/>
        <w:jc w:val="center"/>
        <w:rPr>
          <w:rFonts w:eastAsia="黑体" w:cs="Times New Roman"/>
          <w:sz w:val="32"/>
          <w:szCs w:val="32"/>
        </w:rPr>
      </w:pPr>
      <w:r>
        <w:rPr>
          <w:rFonts w:eastAsia="黑体" w:cs="Times New Roman"/>
          <w:sz w:val="32"/>
          <w:szCs w:val="32"/>
        </w:rPr>
        <w:t>表2</w:t>
      </w:r>
      <w:r>
        <w:rPr>
          <w:rFonts w:hint="eastAsia" w:eastAsia="黑体" w:cs="Times New Roman"/>
          <w:sz w:val="32"/>
          <w:szCs w:val="32"/>
        </w:rPr>
        <w:t>-</w:t>
      </w:r>
      <w:r>
        <w:rPr>
          <w:rFonts w:eastAsia="黑体" w:cs="Times New Roman"/>
          <w:sz w:val="32"/>
          <w:szCs w:val="32"/>
        </w:rPr>
        <w:t>3　2015年三河市地表水可利用量表</w:t>
      </w:r>
    </w:p>
    <w:tbl>
      <w:tblPr>
        <w:tblStyle w:val="13"/>
        <w:tblW w:w="8899" w:type="dxa"/>
        <w:tblInd w:w="108"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159"/>
        <w:gridCol w:w="2844"/>
        <w:gridCol w:w="2519"/>
        <w:gridCol w:w="2377"/>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871" w:hRule="atLeast"/>
        </w:trPr>
        <w:tc>
          <w:tcPr>
            <w:tcW w:w="1159"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面积（km</w:t>
            </w:r>
            <w:r>
              <w:rPr>
                <w:rFonts w:ascii="Times New Roman" w:hAnsi="Times New Roman" w:eastAsia="仿宋_GB2312" w:cs="Times New Roman"/>
                <w:sz w:val="21"/>
                <w:szCs w:val="21"/>
                <w:vertAlign w:val="superscript"/>
              </w:rPr>
              <w:t>2</w:t>
            </w:r>
            <w:r>
              <w:rPr>
                <w:rFonts w:ascii="Times New Roman" w:hAnsi="Times New Roman" w:eastAsia="仿宋_GB2312" w:cs="Times New Roman"/>
                <w:sz w:val="21"/>
                <w:szCs w:val="21"/>
              </w:rPr>
              <w:t>）</w:t>
            </w:r>
          </w:p>
        </w:tc>
        <w:tc>
          <w:tcPr>
            <w:tcW w:w="2844"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自产水量+入境水量</w:t>
            </w:r>
          </w:p>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（万m</w:t>
            </w:r>
            <w:r>
              <w:rPr>
                <w:rFonts w:ascii="Times New Roman" w:hAnsi="Times New Roman" w:eastAsia="仿宋_GB2312" w:cs="Times New Roman"/>
                <w:sz w:val="21"/>
                <w:szCs w:val="21"/>
                <w:vertAlign w:val="superscript"/>
              </w:rPr>
              <w:t>3</w:t>
            </w:r>
            <w:r>
              <w:rPr>
                <w:rFonts w:ascii="Times New Roman" w:hAnsi="Times New Roman" w:eastAsia="仿宋_GB2312" w:cs="Times New Roman"/>
                <w:sz w:val="21"/>
                <w:szCs w:val="21"/>
              </w:rPr>
              <w:t>）</w:t>
            </w:r>
          </w:p>
        </w:tc>
        <w:tc>
          <w:tcPr>
            <w:tcW w:w="2519"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地表水可利用量</w:t>
            </w:r>
          </w:p>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（万m</w:t>
            </w:r>
            <w:r>
              <w:rPr>
                <w:rFonts w:ascii="Times New Roman" w:hAnsi="Times New Roman" w:eastAsia="仿宋_GB2312" w:cs="Times New Roman"/>
                <w:color w:val="000000"/>
                <w:sz w:val="21"/>
                <w:szCs w:val="21"/>
                <w:vertAlign w:val="superscript"/>
              </w:rPr>
              <w:t>3</w:t>
            </w:r>
            <w:r>
              <w:rPr>
                <w:rFonts w:ascii="Times New Roman" w:hAnsi="Times New Roman" w:eastAsia="仿宋_GB2312" w:cs="Times New Roman"/>
                <w:color w:val="000000"/>
                <w:sz w:val="21"/>
                <w:szCs w:val="21"/>
              </w:rPr>
              <w:t>）</w:t>
            </w:r>
          </w:p>
        </w:tc>
        <w:tc>
          <w:tcPr>
            <w:tcW w:w="2377"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color w:val="000000"/>
                <w:sz w:val="21"/>
                <w:szCs w:val="21"/>
              </w:rPr>
            </w:pPr>
            <w:r>
              <w:rPr>
                <w:rFonts w:ascii="Times New Roman" w:hAnsi="Times New Roman" w:eastAsia="仿宋_GB2312" w:cs="Times New Roman"/>
                <w:color w:val="000000"/>
                <w:sz w:val="21"/>
                <w:szCs w:val="21"/>
              </w:rPr>
              <w:t>地表水利用率</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931" w:hRule="atLeast"/>
        </w:trPr>
        <w:tc>
          <w:tcPr>
            <w:tcW w:w="1159"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643</w:t>
            </w:r>
          </w:p>
        </w:tc>
        <w:tc>
          <w:tcPr>
            <w:tcW w:w="2844"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6500</w:t>
            </w:r>
          </w:p>
        </w:tc>
        <w:tc>
          <w:tcPr>
            <w:tcW w:w="2519"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rPr>
                <w:rFonts w:ascii="Times New Roman" w:hAnsi="Times New Roman" w:eastAsia="仿宋_GB2312"/>
                <w:color w:val="000000"/>
                <w:sz w:val="21"/>
                <w:szCs w:val="21"/>
              </w:rPr>
            </w:pPr>
            <w:r>
              <w:rPr>
                <w:rFonts w:ascii="Times New Roman" w:hAnsi="Times New Roman" w:eastAsia="仿宋_GB2312"/>
                <w:color w:val="000000"/>
                <w:sz w:val="21"/>
                <w:szCs w:val="21"/>
              </w:rPr>
              <w:t>3786</w:t>
            </w:r>
          </w:p>
        </w:tc>
        <w:tc>
          <w:tcPr>
            <w:tcW w:w="2377"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rPr>
                <w:rFonts w:ascii="Times New Roman" w:hAnsi="Times New Roman" w:eastAsia="仿宋_GB2312"/>
                <w:color w:val="000000"/>
                <w:sz w:val="21"/>
                <w:szCs w:val="21"/>
              </w:rPr>
            </w:pPr>
            <w:r>
              <w:rPr>
                <w:rFonts w:ascii="Times New Roman" w:hAnsi="Times New Roman" w:eastAsia="仿宋_GB2312"/>
                <w:color w:val="000000"/>
                <w:sz w:val="21"/>
                <w:szCs w:val="21"/>
              </w:rPr>
              <w:t>3.10%</w:t>
            </w:r>
          </w:p>
        </w:tc>
      </w:tr>
    </w:tbl>
    <w:p>
      <w:pPr>
        <w:pStyle w:val="4"/>
        <w:ind w:firstLine="643"/>
      </w:pPr>
      <w:bookmarkStart w:id="34" w:name="_Toc467753402"/>
      <w:bookmarkStart w:id="35" w:name="_Toc23788299"/>
      <w:r>
        <w:t>2.5.2地下水资源</w:t>
      </w:r>
      <w:bookmarkEnd w:id="34"/>
      <w:bookmarkEnd w:id="35"/>
    </w:p>
    <w:p>
      <w:pPr>
        <w:autoSpaceDN w:val="0"/>
        <w:snapToGrid w:val="0"/>
        <w:spacing w:line="584" w:lineRule="exact"/>
        <w:ind w:firstLine="640"/>
        <w:rPr>
          <w:rFonts w:eastAsia="仿宋_GB2312" w:cs="Times New Roman"/>
          <w:sz w:val="32"/>
          <w:szCs w:val="32"/>
        </w:rPr>
      </w:pPr>
      <w:r>
        <w:rPr>
          <w:rFonts w:eastAsia="仿宋_GB2312" w:cs="Times New Roman"/>
          <w:sz w:val="32"/>
          <w:szCs w:val="32"/>
        </w:rPr>
        <w:t>三河市多年平均地下水资源量为9336万立方米，可开采量为9202万立方米。</w:t>
      </w:r>
      <w:r>
        <w:rPr>
          <w:rFonts w:eastAsia="仿宋_GB2312" w:cs="Times New Roman"/>
          <w:spacing w:val="2"/>
          <w:sz w:val="32"/>
          <w:szCs w:val="32"/>
        </w:rPr>
        <w:t>2014年全市总用水量1.838亿</w:t>
      </w:r>
      <w:r>
        <w:rPr>
          <w:rFonts w:eastAsia="仿宋_GB2312" w:cs="Times New Roman"/>
          <w:sz w:val="32"/>
          <w:szCs w:val="32"/>
        </w:rPr>
        <w:t>立方米</w:t>
      </w:r>
      <w:r>
        <w:rPr>
          <w:rFonts w:eastAsia="仿宋_GB2312" w:cs="Times New Roman"/>
          <w:spacing w:val="2"/>
          <w:sz w:val="32"/>
          <w:szCs w:val="32"/>
        </w:rPr>
        <w:t>，其中地下水总开采量1.641亿</w:t>
      </w:r>
      <w:r>
        <w:rPr>
          <w:rFonts w:eastAsia="仿宋_GB2312" w:cs="Times New Roman"/>
          <w:sz w:val="32"/>
          <w:szCs w:val="32"/>
        </w:rPr>
        <w:t>立方米（浅层地下水1.131亿立方米，深层地下水5100万立方米）</w:t>
      </w:r>
      <w:r>
        <w:rPr>
          <w:rFonts w:eastAsia="仿宋_GB2312" w:cs="Times New Roman"/>
          <w:spacing w:val="2"/>
          <w:sz w:val="32"/>
          <w:szCs w:val="32"/>
        </w:rPr>
        <w:t>，地表水利用量570万</w:t>
      </w:r>
      <w:r>
        <w:rPr>
          <w:rFonts w:eastAsia="仿宋_GB2312" w:cs="Times New Roman"/>
          <w:sz w:val="32"/>
          <w:szCs w:val="32"/>
        </w:rPr>
        <w:t>立方米</w:t>
      </w:r>
      <w:r>
        <w:rPr>
          <w:rFonts w:eastAsia="仿宋_GB2312" w:cs="Times New Roman"/>
          <w:spacing w:val="2"/>
          <w:sz w:val="32"/>
          <w:szCs w:val="32"/>
        </w:rPr>
        <w:t>，中水回用量1400万</w:t>
      </w:r>
      <w:r>
        <w:rPr>
          <w:rFonts w:eastAsia="仿宋_GB2312" w:cs="Times New Roman"/>
          <w:sz w:val="32"/>
          <w:szCs w:val="32"/>
        </w:rPr>
        <w:t>立方米</w:t>
      </w:r>
      <w:r>
        <w:rPr>
          <w:rFonts w:eastAsia="仿宋_GB2312" w:cs="Times New Roman"/>
          <w:spacing w:val="2"/>
          <w:sz w:val="32"/>
          <w:szCs w:val="32"/>
        </w:rPr>
        <w:t>。</w:t>
      </w:r>
    </w:p>
    <w:p>
      <w:pPr>
        <w:pStyle w:val="17"/>
        <w:autoSpaceDN w:val="0"/>
        <w:snapToGrid w:val="0"/>
        <w:spacing w:line="584"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根据《2014年廊坊市水资源公报》，廊坊市监测浅层地下水水质观测井共23眼，其中三河市3眼，均属于IV类水标准。IV类水标准以农业和工业用水要求为依据，除适用于农业和部分工业用水外，适当处理后可做生活用水。三河市地下水资源量见下表。</w:t>
      </w:r>
    </w:p>
    <w:p>
      <w:pPr>
        <w:spacing w:after="163" w:afterLines="50"/>
        <w:ind w:firstLine="0" w:firstLineChars="0"/>
        <w:jc w:val="center"/>
        <w:rPr>
          <w:rFonts w:eastAsia="黑体" w:cs="Times New Roman"/>
          <w:sz w:val="32"/>
          <w:szCs w:val="32"/>
        </w:rPr>
      </w:pPr>
      <w:r>
        <w:rPr>
          <w:rFonts w:eastAsia="仿宋_GB2312" w:cs="Times New Roman"/>
          <w:sz w:val="32"/>
          <w:szCs w:val="32"/>
        </w:rPr>
        <w:br w:type="page"/>
      </w:r>
      <w:r>
        <w:rPr>
          <w:rFonts w:eastAsia="黑体" w:cs="Times New Roman"/>
          <w:sz w:val="32"/>
          <w:szCs w:val="32"/>
        </w:rPr>
        <w:t>表2</w:t>
      </w:r>
      <w:r>
        <w:rPr>
          <w:rFonts w:hint="eastAsia" w:eastAsia="黑体" w:cs="Times New Roman"/>
          <w:sz w:val="32"/>
          <w:szCs w:val="32"/>
        </w:rPr>
        <w:t>-</w:t>
      </w:r>
      <w:r>
        <w:rPr>
          <w:rFonts w:eastAsia="黑体" w:cs="Times New Roman"/>
          <w:sz w:val="32"/>
          <w:szCs w:val="32"/>
        </w:rPr>
        <w:t>4　2014年三河市地下水资源量表（万</w:t>
      </w:r>
      <w:r>
        <w:rPr>
          <w:rFonts w:hint="eastAsia" w:eastAsia="黑体" w:cs="Times New Roman"/>
          <w:sz w:val="32"/>
          <w:szCs w:val="32"/>
        </w:rPr>
        <w:t>立方米</w:t>
      </w:r>
      <w:r>
        <w:rPr>
          <w:rFonts w:eastAsia="黑体" w:cs="Times New Roman"/>
          <w:sz w:val="32"/>
          <w:szCs w:val="32"/>
        </w:rPr>
        <w:t>）</w:t>
      </w:r>
    </w:p>
    <w:tbl>
      <w:tblPr>
        <w:tblStyle w:val="13"/>
        <w:tblW w:w="8901" w:type="dxa"/>
        <w:tblInd w:w="108"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046"/>
        <w:gridCol w:w="1082"/>
        <w:gridCol w:w="1161"/>
        <w:gridCol w:w="1082"/>
        <w:gridCol w:w="1044"/>
        <w:gridCol w:w="1242"/>
        <w:gridCol w:w="1123"/>
        <w:gridCol w:w="1121"/>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815" w:hRule="atLeast"/>
        </w:trPr>
        <w:tc>
          <w:tcPr>
            <w:tcW w:w="1046"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计算面积（km</w:t>
            </w:r>
            <w:r>
              <w:rPr>
                <w:rFonts w:ascii="Times New Roman" w:hAnsi="Times New Roman" w:eastAsia="仿宋_GB2312" w:cs="Times New Roman"/>
                <w:sz w:val="21"/>
                <w:szCs w:val="21"/>
                <w:vertAlign w:val="superscript"/>
              </w:rPr>
              <w:t>2</w:t>
            </w:r>
            <w:r>
              <w:rPr>
                <w:rFonts w:ascii="Times New Roman" w:hAnsi="Times New Roman" w:eastAsia="仿宋_GB2312" w:cs="Times New Roman"/>
                <w:sz w:val="21"/>
                <w:szCs w:val="21"/>
              </w:rPr>
              <w:t>）</w:t>
            </w:r>
          </w:p>
        </w:tc>
        <w:tc>
          <w:tcPr>
            <w:tcW w:w="4369" w:type="dxa"/>
            <w:gridSpan w:val="4"/>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地表水体入渗补给量</w:t>
            </w:r>
          </w:p>
        </w:tc>
        <w:tc>
          <w:tcPr>
            <w:tcW w:w="1242"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井灌回归补给量</w:t>
            </w:r>
          </w:p>
        </w:tc>
        <w:tc>
          <w:tcPr>
            <w:tcW w:w="1123"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地下水补给量</w:t>
            </w:r>
          </w:p>
        </w:tc>
        <w:tc>
          <w:tcPr>
            <w:tcW w:w="1121"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地下水资源量</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14" w:hRule="atLeast"/>
        </w:trPr>
        <w:tc>
          <w:tcPr>
            <w:tcW w:w="1046" w:type="dxa"/>
            <w:vMerge w:val="restart"/>
            <w:tcBorders>
              <w:top w:val="single" w:color="auto" w:sz="4" w:space="0"/>
              <w:left w:val="single" w:color="auto" w:sz="4" w:space="0"/>
              <w:bottom w:val="single" w:color="auto" w:sz="4" w:space="0"/>
              <w:right w:val="single" w:color="auto"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643</w:t>
            </w:r>
          </w:p>
        </w:tc>
        <w:tc>
          <w:tcPr>
            <w:tcW w:w="1082"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渠系</w:t>
            </w:r>
          </w:p>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入渗量</w:t>
            </w:r>
          </w:p>
        </w:tc>
        <w:tc>
          <w:tcPr>
            <w:tcW w:w="1161"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渠灌</w:t>
            </w:r>
          </w:p>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入渗量</w:t>
            </w:r>
          </w:p>
        </w:tc>
        <w:tc>
          <w:tcPr>
            <w:tcW w:w="1082"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河道</w:t>
            </w:r>
          </w:p>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入渗量</w:t>
            </w:r>
          </w:p>
        </w:tc>
        <w:tc>
          <w:tcPr>
            <w:tcW w:w="1044"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小计</w:t>
            </w:r>
          </w:p>
        </w:tc>
        <w:tc>
          <w:tcPr>
            <w:tcW w:w="1242" w:type="dxa"/>
            <w:vMerge w:val="restart"/>
            <w:tcBorders>
              <w:top w:val="single" w:color="auto" w:sz="4" w:space="0"/>
              <w:left w:val="single" w:color="auto" w:sz="4" w:space="0"/>
              <w:bottom w:val="single" w:color="auto" w:sz="4" w:space="0"/>
              <w:right w:val="single" w:color="auto"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746</w:t>
            </w:r>
          </w:p>
        </w:tc>
        <w:tc>
          <w:tcPr>
            <w:tcW w:w="1123" w:type="dxa"/>
            <w:vMerge w:val="restart"/>
            <w:tcBorders>
              <w:top w:val="single" w:color="auto" w:sz="4" w:space="0"/>
              <w:left w:val="single" w:color="auto" w:sz="4" w:space="0"/>
              <w:bottom w:val="single" w:color="auto" w:sz="4" w:space="0"/>
              <w:right w:val="single" w:color="auto"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7696</w:t>
            </w:r>
          </w:p>
        </w:tc>
        <w:tc>
          <w:tcPr>
            <w:tcW w:w="1121" w:type="dxa"/>
            <w:vMerge w:val="restart"/>
            <w:tcBorders>
              <w:top w:val="single" w:color="auto" w:sz="4" w:space="0"/>
              <w:left w:val="single" w:color="auto" w:sz="4" w:space="0"/>
              <w:bottom w:val="single" w:color="auto" w:sz="4" w:space="0"/>
              <w:right w:val="single" w:color="auto"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6659</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70" w:hRule="atLeast"/>
        </w:trPr>
        <w:tc>
          <w:tcPr>
            <w:tcW w:w="1046"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s="Times New Roman"/>
                <w:sz w:val="21"/>
                <w:szCs w:val="21"/>
              </w:rPr>
            </w:pPr>
          </w:p>
        </w:tc>
        <w:tc>
          <w:tcPr>
            <w:tcW w:w="1082"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37</w:t>
            </w:r>
          </w:p>
        </w:tc>
        <w:tc>
          <w:tcPr>
            <w:tcW w:w="1161"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19</w:t>
            </w:r>
          </w:p>
        </w:tc>
        <w:tc>
          <w:tcPr>
            <w:tcW w:w="1082"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235</w:t>
            </w:r>
          </w:p>
        </w:tc>
        <w:tc>
          <w:tcPr>
            <w:tcW w:w="1044"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291</w:t>
            </w:r>
          </w:p>
        </w:tc>
        <w:tc>
          <w:tcPr>
            <w:tcW w:w="124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s="Times New Roman"/>
                <w:sz w:val="21"/>
                <w:szCs w:val="21"/>
              </w:rPr>
            </w:pPr>
          </w:p>
        </w:tc>
        <w:tc>
          <w:tcPr>
            <w:tcW w:w="1123"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s="Times New Roman"/>
                <w:sz w:val="21"/>
                <w:szCs w:val="21"/>
              </w:rPr>
            </w:pPr>
          </w:p>
        </w:tc>
        <w:tc>
          <w:tcPr>
            <w:tcW w:w="1121"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s="Times New Roman"/>
                <w:sz w:val="21"/>
                <w:szCs w:val="21"/>
              </w:rPr>
            </w:pPr>
          </w:p>
        </w:tc>
      </w:tr>
    </w:tbl>
    <w:p>
      <w:pPr>
        <w:spacing w:before="163" w:beforeLines="50" w:after="163" w:afterLines="50"/>
        <w:ind w:firstLine="0" w:firstLineChars="0"/>
        <w:jc w:val="center"/>
        <w:rPr>
          <w:rFonts w:eastAsia="黑体" w:cs="Times New Roman"/>
          <w:sz w:val="32"/>
          <w:szCs w:val="32"/>
        </w:rPr>
      </w:pPr>
      <w:r>
        <w:rPr>
          <w:rFonts w:eastAsia="黑体" w:cs="Times New Roman"/>
          <w:sz w:val="32"/>
          <w:szCs w:val="32"/>
        </w:rPr>
        <w:t>表2</w:t>
      </w:r>
      <w:r>
        <w:rPr>
          <w:rFonts w:hint="eastAsia" w:eastAsia="黑体" w:cs="Times New Roman"/>
          <w:sz w:val="32"/>
          <w:szCs w:val="32"/>
        </w:rPr>
        <w:t>-</w:t>
      </w:r>
      <w:r>
        <w:rPr>
          <w:rFonts w:eastAsia="黑体" w:cs="Times New Roman"/>
          <w:sz w:val="32"/>
          <w:szCs w:val="32"/>
        </w:rPr>
        <w:t>5　2014年三河市浅层地下水超采量</w:t>
      </w:r>
    </w:p>
    <w:tbl>
      <w:tblPr>
        <w:tblStyle w:val="13"/>
        <w:tblW w:w="8913" w:type="dxa"/>
        <w:tblInd w:w="0" w:type="dxa"/>
        <w:tblLayout w:type="fixed"/>
        <w:tblCellMar>
          <w:top w:w="15" w:type="dxa"/>
          <w:left w:w="15" w:type="dxa"/>
          <w:bottom w:w="15" w:type="dxa"/>
          <w:right w:w="15" w:type="dxa"/>
        </w:tblCellMar>
      </w:tblPr>
      <w:tblGrid>
        <w:gridCol w:w="1442"/>
        <w:gridCol w:w="1275"/>
        <w:gridCol w:w="794"/>
        <w:gridCol w:w="900"/>
        <w:gridCol w:w="900"/>
        <w:gridCol w:w="903"/>
        <w:gridCol w:w="900"/>
        <w:gridCol w:w="900"/>
        <w:gridCol w:w="899"/>
      </w:tblGrid>
      <w:tr>
        <w:tblPrEx>
          <w:tblLayout w:type="fixed"/>
          <w:tblCellMar>
            <w:top w:w="15" w:type="dxa"/>
            <w:left w:w="15" w:type="dxa"/>
            <w:bottom w:w="15" w:type="dxa"/>
            <w:right w:w="15" w:type="dxa"/>
          </w:tblCellMar>
        </w:tblPrEx>
        <w:trPr>
          <w:trHeight w:val="514" w:hRule="atLeast"/>
        </w:trPr>
        <w:tc>
          <w:tcPr>
            <w:tcW w:w="6214" w:type="dxa"/>
            <w:gridSpan w:val="6"/>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浅层地下水超采区</w:t>
            </w:r>
          </w:p>
        </w:tc>
        <w:tc>
          <w:tcPr>
            <w:tcW w:w="2699" w:type="dxa"/>
            <w:gridSpan w:val="3"/>
            <w:vMerge w:val="restart"/>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超采区超采量（万m</w:t>
            </w:r>
            <w:r>
              <w:rPr>
                <w:rFonts w:ascii="Times New Roman" w:hAnsi="Times New Roman" w:eastAsia="仿宋_GB2312" w:cs="Times New Roman"/>
                <w:sz w:val="21"/>
                <w:szCs w:val="21"/>
                <w:vertAlign w:val="superscript"/>
              </w:rPr>
              <w:t>3</w:t>
            </w:r>
            <w:r>
              <w:rPr>
                <w:rFonts w:ascii="Times New Roman" w:hAnsi="Times New Roman" w:eastAsia="仿宋_GB2312" w:cs="Times New Roman"/>
                <w:sz w:val="21"/>
                <w:szCs w:val="21"/>
              </w:rPr>
              <w:t>）</w:t>
            </w:r>
          </w:p>
        </w:tc>
      </w:tr>
      <w:tr>
        <w:tblPrEx>
          <w:tblLayout w:type="fixed"/>
          <w:tblCellMar>
            <w:top w:w="15" w:type="dxa"/>
            <w:left w:w="15" w:type="dxa"/>
            <w:bottom w:w="15" w:type="dxa"/>
            <w:right w:w="15" w:type="dxa"/>
          </w:tblCellMar>
        </w:tblPrEx>
        <w:trPr>
          <w:trHeight w:val="514" w:hRule="atLeast"/>
        </w:trPr>
        <w:tc>
          <w:tcPr>
            <w:tcW w:w="3511" w:type="dxa"/>
            <w:gridSpan w:val="3"/>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面积（km</w:t>
            </w:r>
            <w:r>
              <w:rPr>
                <w:rFonts w:ascii="Times New Roman" w:hAnsi="Times New Roman" w:eastAsia="仿宋_GB2312" w:cs="Times New Roman"/>
                <w:sz w:val="21"/>
                <w:szCs w:val="21"/>
                <w:vertAlign w:val="superscript"/>
              </w:rPr>
              <w:t>2</w:t>
            </w:r>
            <w:r>
              <w:rPr>
                <w:rFonts w:ascii="Times New Roman" w:hAnsi="Times New Roman" w:eastAsia="仿宋_GB2312" w:cs="Times New Roman"/>
                <w:sz w:val="21"/>
                <w:szCs w:val="21"/>
              </w:rPr>
              <w:t>）</w:t>
            </w:r>
          </w:p>
        </w:tc>
        <w:tc>
          <w:tcPr>
            <w:tcW w:w="2703" w:type="dxa"/>
            <w:gridSpan w:val="3"/>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超采量（万m</w:t>
            </w:r>
            <w:r>
              <w:rPr>
                <w:rFonts w:ascii="Times New Roman" w:hAnsi="Times New Roman" w:eastAsia="仿宋_GB2312" w:cs="Times New Roman"/>
                <w:sz w:val="21"/>
                <w:szCs w:val="21"/>
                <w:vertAlign w:val="superscript"/>
              </w:rPr>
              <w:t>3</w:t>
            </w:r>
            <w:r>
              <w:rPr>
                <w:rFonts w:ascii="Times New Roman" w:hAnsi="Times New Roman" w:eastAsia="仿宋_GB2312" w:cs="Times New Roman"/>
                <w:sz w:val="21"/>
                <w:szCs w:val="21"/>
              </w:rPr>
              <w:t>）</w:t>
            </w:r>
          </w:p>
        </w:tc>
        <w:tc>
          <w:tcPr>
            <w:tcW w:w="2699" w:type="dxa"/>
            <w:gridSpan w:val="3"/>
            <w:vMerge w:val="continue"/>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eastAsia="仿宋_GB2312" w:cs="Times New Roman"/>
                <w:b/>
                <w:sz w:val="21"/>
                <w:szCs w:val="21"/>
              </w:rPr>
            </w:pPr>
          </w:p>
        </w:tc>
      </w:tr>
      <w:tr>
        <w:tblPrEx>
          <w:tblLayout w:type="fixed"/>
          <w:tblCellMar>
            <w:top w:w="15" w:type="dxa"/>
            <w:left w:w="15" w:type="dxa"/>
            <w:bottom w:w="15" w:type="dxa"/>
            <w:right w:w="15" w:type="dxa"/>
          </w:tblCellMar>
        </w:tblPrEx>
        <w:trPr>
          <w:trHeight w:val="514" w:hRule="atLeast"/>
        </w:trPr>
        <w:tc>
          <w:tcPr>
            <w:tcW w:w="1442" w:type="dxa"/>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一般</w:t>
            </w:r>
          </w:p>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超采区</w:t>
            </w:r>
          </w:p>
        </w:tc>
        <w:tc>
          <w:tcPr>
            <w:tcW w:w="1275" w:type="dxa"/>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严重</w:t>
            </w:r>
          </w:p>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超采区</w:t>
            </w:r>
          </w:p>
        </w:tc>
        <w:tc>
          <w:tcPr>
            <w:tcW w:w="794" w:type="dxa"/>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合计</w:t>
            </w:r>
          </w:p>
        </w:tc>
        <w:tc>
          <w:tcPr>
            <w:tcW w:w="900" w:type="dxa"/>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一般</w:t>
            </w:r>
          </w:p>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超采区</w:t>
            </w:r>
          </w:p>
        </w:tc>
        <w:tc>
          <w:tcPr>
            <w:tcW w:w="900" w:type="dxa"/>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严重</w:t>
            </w:r>
          </w:p>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超采区</w:t>
            </w:r>
          </w:p>
        </w:tc>
        <w:tc>
          <w:tcPr>
            <w:tcW w:w="903" w:type="dxa"/>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合计</w:t>
            </w:r>
          </w:p>
        </w:tc>
        <w:tc>
          <w:tcPr>
            <w:tcW w:w="900" w:type="dxa"/>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一般</w:t>
            </w:r>
          </w:p>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超采区</w:t>
            </w:r>
          </w:p>
        </w:tc>
        <w:tc>
          <w:tcPr>
            <w:tcW w:w="900" w:type="dxa"/>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严重</w:t>
            </w:r>
          </w:p>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超采区</w:t>
            </w:r>
          </w:p>
        </w:tc>
        <w:tc>
          <w:tcPr>
            <w:tcW w:w="899" w:type="dxa"/>
            <w:tcBorders>
              <w:top w:val="single" w:color="000000" w:sz="4" w:space="0"/>
              <w:left w:val="single" w:color="000000" w:sz="4" w:space="0"/>
              <w:bottom w:val="single" w:color="000000" w:sz="4" w:space="0"/>
              <w:right w:val="single" w:color="000000"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合计</w:t>
            </w:r>
          </w:p>
        </w:tc>
      </w:tr>
      <w:tr>
        <w:tblPrEx>
          <w:tblLayout w:type="fixed"/>
          <w:tblCellMar>
            <w:top w:w="15" w:type="dxa"/>
            <w:left w:w="15" w:type="dxa"/>
            <w:bottom w:w="15" w:type="dxa"/>
            <w:right w:w="15" w:type="dxa"/>
          </w:tblCellMar>
        </w:tblPrEx>
        <w:trPr>
          <w:trHeight w:val="725" w:hRule="atLeast"/>
        </w:trPr>
        <w:tc>
          <w:tcPr>
            <w:tcW w:w="1442"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443.3</w:t>
            </w:r>
          </w:p>
        </w:tc>
        <w:tc>
          <w:tcPr>
            <w:tcW w:w="1275"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121.7</w:t>
            </w:r>
          </w:p>
        </w:tc>
        <w:tc>
          <w:tcPr>
            <w:tcW w:w="794"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565</w:t>
            </w:r>
          </w:p>
        </w:tc>
        <w:tc>
          <w:tcPr>
            <w:tcW w:w="900"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4854</w:t>
            </w:r>
          </w:p>
        </w:tc>
        <w:tc>
          <w:tcPr>
            <w:tcW w:w="900"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1333</w:t>
            </w:r>
          </w:p>
        </w:tc>
        <w:tc>
          <w:tcPr>
            <w:tcW w:w="903"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6187</w:t>
            </w:r>
          </w:p>
        </w:tc>
        <w:tc>
          <w:tcPr>
            <w:tcW w:w="900"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4854</w:t>
            </w:r>
          </w:p>
        </w:tc>
        <w:tc>
          <w:tcPr>
            <w:tcW w:w="900"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1333</w:t>
            </w:r>
          </w:p>
        </w:tc>
        <w:tc>
          <w:tcPr>
            <w:tcW w:w="899" w:type="dxa"/>
            <w:tcBorders>
              <w:top w:val="single" w:color="000000" w:sz="4" w:space="0"/>
              <w:left w:val="single" w:color="000000" w:sz="4" w:space="0"/>
              <w:bottom w:val="single" w:color="000000" w:sz="4" w:space="0"/>
              <w:right w:val="single" w:color="000000" w:sz="4" w:space="0"/>
            </w:tcBorders>
            <w:vAlign w:val="center"/>
          </w:tcPr>
          <w:p>
            <w:pPr>
              <w:pStyle w:val="16"/>
              <w:autoSpaceDN w:val="0"/>
              <w:snapToGrid w:val="0"/>
              <w:rPr>
                <w:rFonts w:ascii="Times New Roman" w:hAnsi="Times New Roman" w:eastAsia="仿宋_GB2312"/>
                <w:sz w:val="21"/>
                <w:szCs w:val="21"/>
              </w:rPr>
            </w:pPr>
            <w:r>
              <w:rPr>
                <w:rFonts w:ascii="Times New Roman" w:hAnsi="Times New Roman" w:eastAsia="仿宋_GB2312"/>
                <w:sz w:val="21"/>
                <w:szCs w:val="21"/>
              </w:rPr>
              <w:t>6187</w:t>
            </w:r>
          </w:p>
        </w:tc>
      </w:tr>
    </w:tbl>
    <w:p>
      <w:pPr>
        <w:pStyle w:val="4"/>
        <w:adjustRightInd w:val="0"/>
        <w:snapToGrid w:val="0"/>
        <w:ind w:firstLine="643"/>
      </w:pPr>
      <w:bookmarkStart w:id="36" w:name="_Toc467753403"/>
      <w:bookmarkStart w:id="37" w:name="_Toc23788300"/>
      <w:r>
        <w:t>2.5.3用水量现状</w:t>
      </w:r>
      <w:bookmarkEnd w:id="36"/>
      <w:bookmarkEnd w:id="37"/>
    </w:p>
    <w:p>
      <w:pPr>
        <w:pStyle w:val="17"/>
        <w:autoSpaceDN w:val="0"/>
        <w:adjustRightInd w:val="0"/>
        <w:snapToGrid w:val="0"/>
        <w:spacing w:line="584"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2014年全市总用水量1.838亿立方米，其中地下水总开采量1.641亿立方米（浅层地下水1.131亿立方米，深层地下水5100万立方米），地表水利用量570万立方米，中水回用量1400万立方米。在全市总取水量中，生活用水为3380万立方米（城镇生活用水2065万立方米，农村生活用水1315万立方米）。工业用水4100万立方米（火电厂用水1700万立方米，国有及规模以上工业用水1300万立方米，规模以下一般工业用水1100万立方米</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农业用水1.004亿立方米（农田灌溉用水7720万立方米，林牧渔畜用水2315万立方米），环境生态用水450万立方米。</w:t>
      </w:r>
    </w:p>
    <w:p>
      <w:pPr>
        <w:pStyle w:val="4"/>
        <w:ind w:firstLine="643"/>
      </w:pPr>
      <w:bookmarkStart w:id="38" w:name="_Toc23788301"/>
      <w:bookmarkStart w:id="39" w:name="_Toc467753404"/>
      <w:r>
        <w:t>2.5.4水资源特征分析</w:t>
      </w:r>
      <w:bookmarkEnd w:id="38"/>
      <w:bookmarkEnd w:id="39"/>
    </w:p>
    <w:p>
      <w:pPr>
        <w:pStyle w:val="17"/>
        <w:autoSpaceDN w:val="0"/>
        <w:adjustRightInd w:val="0"/>
        <w:snapToGrid w:val="0"/>
        <w:spacing w:line="584"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综合来看，三河市的水资源具备以下几个特征：</w:t>
      </w:r>
    </w:p>
    <w:p>
      <w:pPr>
        <w:pStyle w:val="17"/>
        <w:autoSpaceDN w:val="0"/>
        <w:adjustRightInd w:val="0"/>
        <w:snapToGrid w:val="0"/>
        <w:spacing w:line="592"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（1）人均水资源量少，是全国的1/10，远低于国际公认的水资源紧缺标准，属水资源极度紧缺地区；如果考虑生态环境用水，年缺水量还将大幅增加；</w:t>
      </w:r>
    </w:p>
    <w:p>
      <w:pPr>
        <w:pStyle w:val="17"/>
        <w:autoSpaceDN w:val="0"/>
        <w:adjustRightInd w:val="0"/>
        <w:snapToGrid w:val="0"/>
        <w:spacing w:line="592"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（2）水源来源单一，主要来源来自于本区降水，降雨量虽然较大，但降雨时空分布不均；</w:t>
      </w:r>
    </w:p>
    <w:p>
      <w:pPr>
        <w:pStyle w:val="17"/>
        <w:autoSpaceDN w:val="0"/>
        <w:adjustRightInd w:val="0"/>
        <w:snapToGrid w:val="0"/>
        <w:spacing w:line="592"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（3）地表水资源总量为</w:t>
      </w:r>
      <w:r>
        <w:rPr>
          <w:rFonts w:ascii="Times New Roman" w:hAnsi="Times New Roman" w:eastAsia="仿宋_GB2312" w:cs="Times New Roman"/>
          <w:color w:val="000000"/>
          <w:sz w:val="32"/>
          <w:szCs w:val="32"/>
        </w:rPr>
        <w:t>6500万</w:t>
      </w:r>
      <w:r>
        <w:rPr>
          <w:rFonts w:ascii="Times New Roman" w:hAnsi="Times New Roman" w:eastAsia="仿宋_GB2312" w:cs="Times New Roman"/>
          <w:sz w:val="32"/>
          <w:szCs w:val="32"/>
        </w:rPr>
        <w:t>立方米</w:t>
      </w:r>
      <w:r>
        <w:rPr>
          <w:rFonts w:ascii="Times New Roman" w:hAnsi="Times New Roman" w:eastAsia="仿宋_GB2312" w:cs="Times New Roman"/>
          <w:color w:val="000000"/>
          <w:sz w:val="32"/>
          <w:szCs w:val="32"/>
        </w:rPr>
        <w:t>，可利用量为3786万</w:t>
      </w:r>
      <w:r>
        <w:rPr>
          <w:rFonts w:ascii="Times New Roman" w:hAnsi="Times New Roman" w:eastAsia="仿宋_GB2312" w:cs="Times New Roman"/>
          <w:sz w:val="32"/>
          <w:szCs w:val="32"/>
        </w:rPr>
        <w:t>立方米</w:t>
      </w:r>
      <w:r>
        <w:rPr>
          <w:rFonts w:ascii="Times New Roman" w:hAnsi="Times New Roman" w:eastAsia="仿宋_GB2312" w:cs="Times New Roman"/>
          <w:color w:val="000000"/>
          <w:sz w:val="32"/>
          <w:szCs w:val="32"/>
        </w:rPr>
        <w:t>，但是可利用率仅为3.1%，可能的原因一方面是</w:t>
      </w:r>
      <w:r>
        <w:rPr>
          <w:rFonts w:ascii="Times New Roman" w:hAnsi="Times New Roman" w:eastAsia="仿宋_GB2312" w:cs="Times New Roman"/>
          <w:sz w:val="32"/>
          <w:szCs w:val="32"/>
        </w:rPr>
        <w:t>地表水资源量年际和年内分布不均，境内的</w:t>
      </w:r>
      <w:r>
        <w:rPr>
          <w:rFonts w:ascii="Times New Roman" w:hAnsi="Times New Roman" w:eastAsia="仿宋" w:cs="Times New Roman"/>
          <w:sz w:val="32"/>
          <w:szCs w:val="32"/>
        </w:rPr>
        <w:t>泃</w:t>
      </w:r>
      <w:r>
        <w:rPr>
          <w:rFonts w:ascii="Times New Roman" w:hAnsi="Times New Roman" w:eastAsia="仿宋_GB2312" w:cs="Times New Roman"/>
          <w:sz w:val="32"/>
          <w:szCs w:val="32"/>
        </w:rPr>
        <w:t>河、引</w:t>
      </w:r>
      <w:r>
        <w:rPr>
          <w:rFonts w:ascii="Times New Roman" w:hAnsi="Times New Roman" w:eastAsia="仿宋" w:cs="Times New Roman"/>
          <w:sz w:val="32"/>
          <w:szCs w:val="32"/>
        </w:rPr>
        <w:t>泃</w:t>
      </w:r>
      <w:r>
        <w:rPr>
          <w:rFonts w:ascii="Times New Roman" w:hAnsi="Times New Roman" w:eastAsia="仿宋_GB2312" w:cs="Times New Roman"/>
          <w:sz w:val="32"/>
          <w:szCs w:val="32"/>
        </w:rPr>
        <w:t>入潮、潮白河、鲍邱河、</w:t>
      </w:r>
      <w:r>
        <w:rPr>
          <w:rFonts w:ascii="Times New Roman" w:hAnsi="Times New Roman" w:eastAsia="仿宋" w:cs="Times New Roman"/>
          <w:sz w:val="32"/>
          <w:szCs w:val="32"/>
        </w:rPr>
        <w:t>鵏</w:t>
      </w:r>
      <w:r>
        <w:rPr>
          <w:rFonts w:ascii="Times New Roman" w:hAnsi="Times New Roman" w:eastAsia="仿宋_GB2312" w:cs="Times New Roman"/>
          <w:sz w:val="32"/>
          <w:szCs w:val="32"/>
        </w:rPr>
        <w:t>池河等均为季节性河流，径流差异大，造成可利用性差，另一方面</w:t>
      </w:r>
      <w:r>
        <w:rPr>
          <w:rFonts w:ascii="Times New Roman" w:hAnsi="Times New Roman" w:eastAsia="仿宋_GB2312" w:cs="Times New Roman"/>
          <w:color w:val="000000"/>
          <w:sz w:val="32"/>
          <w:szCs w:val="32"/>
        </w:rPr>
        <w:t>是由于地表水污染严重；</w:t>
      </w:r>
    </w:p>
    <w:p>
      <w:pPr>
        <w:pStyle w:val="17"/>
        <w:autoSpaceDN w:val="0"/>
        <w:adjustRightInd w:val="0"/>
        <w:snapToGrid w:val="0"/>
        <w:spacing w:line="592"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（4）人均地下水资源量少，地下水年均超采量8000立方米，浅层超采区面积达443.3平方公里，地下水超采导致含水层疏干、地面沉降等环境问题日益突出。</w:t>
      </w:r>
    </w:p>
    <w:bookmarkEnd w:id="29"/>
    <w:p>
      <w:pPr>
        <w:pStyle w:val="2"/>
        <w:spacing w:line="592" w:lineRule="exact"/>
        <w:ind w:firstLine="640"/>
      </w:pPr>
      <w:bookmarkStart w:id="40" w:name="_Toc23788302"/>
      <w:r>
        <w:t>三、水环境形势状况分析</w:t>
      </w:r>
      <w:bookmarkEnd w:id="40"/>
    </w:p>
    <w:p>
      <w:pPr>
        <w:pStyle w:val="3"/>
        <w:spacing w:line="592" w:lineRule="exact"/>
        <w:ind w:firstLine="643"/>
        <w:rPr>
          <w:rFonts w:eastAsia="楷体_GB2312"/>
        </w:rPr>
      </w:pPr>
      <w:bookmarkStart w:id="41" w:name="_Toc23788303"/>
      <w:r>
        <w:rPr>
          <w:rFonts w:eastAsia="楷体_GB2312"/>
        </w:rPr>
        <w:t>3.1水质考核要求</w:t>
      </w:r>
      <w:bookmarkEnd w:id="41"/>
    </w:p>
    <w:p>
      <w:pPr>
        <w:adjustRightInd w:val="0"/>
        <w:snapToGrid w:val="0"/>
        <w:spacing w:line="592" w:lineRule="exact"/>
        <w:ind w:firstLine="624"/>
        <w:rPr>
          <w:rFonts w:eastAsia="仿宋_GB2312" w:cs="Times New Roman"/>
          <w:spacing w:val="-4"/>
          <w:sz w:val="32"/>
          <w:szCs w:val="32"/>
        </w:rPr>
      </w:pPr>
      <w:r>
        <w:rPr>
          <w:rFonts w:eastAsia="仿宋" w:cs="Times New Roman"/>
          <w:spacing w:val="-4"/>
          <w:sz w:val="32"/>
          <w:szCs w:val="32"/>
        </w:rPr>
        <w:t>泃</w:t>
      </w:r>
      <w:r>
        <w:rPr>
          <w:rFonts w:eastAsia="仿宋_GB2312" w:cs="Times New Roman"/>
          <w:spacing w:val="-4"/>
          <w:sz w:val="32"/>
          <w:szCs w:val="32"/>
        </w:rPr>
        <w:t>河有一个考核断面，</w:t>
      </w:r>
      <w:r>
        <w:rPr>
          <w:rFonts w:eastAsia="仿宋" w:cs="Times New Roman"/>
          <w:spacing w:val="-4"/>
          <w:sz w:val="32"/>
          <w:szCs w:val="32"/>
        </w:rPr>
        <w:t>泃</w:t>
      </w:r>
      <w:r>
        <w:rPr>
          <w:rFonts w:eastAsia="仿宋_GB2312" w:cs="Times New Roman"/>
          <w:spacing w:val="-4"/>
          <w:sz w:val="32"/>
          <w:szCs w:val="32"/>
        </w:rPr>
        <w:t>河三河东大桥断面是“十三五”国家考核断面，考核目标为自2018年起水质达到地表水Ｖ类水质标准。</w:t>
      </w:r>
    </w:p>
    <w:p>
      <w:pPr>
        <w:adjustRightInd w:val="0"/>
        <w:snapToGrid w:val="0"/>
        <w:spacing w:line="592" w:lineRule="exact"/>
        <w:ind w:firstLine="640"/>
        <w:rPr>
          <w:rFonts w:eastAsia="仿宋_GB2312" w:cs="Times New Roman"/>
          <w:sz w:val="32"/>
          <w:szCs w:val="32"/>
        </w:rPr>
      </w:pPr>
      <w:r>
        <w:rPr>
          <w:rFonts w:eastAsia="仿宋_GB2312" w:cs="Times New Roman"/>
          <w:sz w:val="32"/>
          <w:szCs w:val="32"/>
        </w:rPr>
        <w:t>国控断面水质评价数据采用国家监测数据，其他断面水质评价数据采用廊坊市监测数据。水质评价采用单因子标准指数法进行评价，评价指标与方法参考《地表水环境质量评价办法》（环办〔2011〕22号）、《地表水环境质量标准》（GB3838</w:t>
      </w:r>
      <w:r>
        <w:rPr>
          <w:rFonts w:hint="eastAsia" w:eastAsia="仿宋_GB2312" w:cs="Times New Roman"/>
          <w:sz w:val="32"/>
          <w:szCs w:val="32"/>
        </w:rPr>
        <w:t>—</w:t>
      </w:r>
      <w:r>
        <w:rPr>
          <w:rFonts w:eastAsia="仿宋_GB2312" w:cs="Times New Roman"/>
          <w:sz w:val="32"/>
          <w:szCs w:val="32"/>
        </w:rPr>
        <w:t>2002）的有关内容。</w:t>
      </w:r>
    </w:p>
    <w:p>
      <w:pPr>
        <w:pStyle w:val="3"/>
        <w:spacing w:line="590" w:lineRule="exact"/>
        <w:ind w:firstLine="643"/>
        <w:rPr>
          <w:rFonts w:eastAsia="楷体_GB2312"/>
        </w:rPr>
      </w:pPr>
      <w:bookmarkStart w:id="42" w:name="_Toc23788304"/>
      <w:r>
        <w:rPr>
          <w:rFonts w:eastAsia="楷体_GB2312"/>
        </w:rPr>
        <w:t>3.2水环境质量状况与差距分析</w:t>
      </w:r>
      <w:bookmarkEnd w:id="42"/>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从考核断面2018年水质年均值来看，三河东大桥断面水质类别为劣V类，未达到2020年水质考核目标，超标指标为氨氮，超标倍数为0.6倍。</w:t>
      </w:r>
    </w:p>
    <w:p>
      <w:pPr>
        <w:adjustRightInd w:val="0"/>
        <w:snapToGrid w:val="0"/>
        <w:spacing w:after="163" w:afterLines="50" w:line="590" w:lineRule="exact"/>
        <w:ind w:firstLine="608"/>
        <w:rPr>
          <w:rFonts w:eastAsia="仿宋_GB2312" w:cs="Times New Roman"/>
          <w:spacing w:val="-8"/>
          <w:sz w:val="32"/>
          <w:szCs w:val="32"/>
        </w:rPr>
      </w:pPr>
      <w:r>
        <w:rPr>
          <w:rFonts w:eastAsia="仿宋_GB2312" w:cs="Times New Roman"/>
          <w:spacing w:val="-8"/>
          <w:sz w:val="32"/>
          <w:szCs w:val="32"/>
        </w:rPr>
        <w:t>从考核断面2018年水质各月值来看，三河东大桥断面除1</w:t>
      </w:r>
      <w:r>
        <w:rPr>
          <w:rFonts w:hint="eastAsia" w:eastAsia="仿宋_GB2312" w:cs="Times New Roman"/>
          <w:spacing w:val="-8"/>
          <w:sz w:val="32"/>
          <w:szCs w:val="32"/>
        </w:rPr>
        <w:t>—</w:t>
      </w:r>
      <w:r>
        <w:rPr>
          <w:rFonts w:eastAsia="仿宋_GB2312" w:cs="Times New Roman"/>
          <w:spacing w:val="-8"/>
          <w:sz w:val="32"/>
          <w:szCs w:val="32"/>
        </w:rPr>
        <w:t>3月、12月水质为劣V类外，其余月份水质都能达标，水质达标率为67%，主要超标指标为氨氮、总磷和化学需氧量。从2019年1</w:t>
      </w:r>
      <w:r>
        <w:rPr>
          <w:rFonts w:hint="eastAsia" w:eastAsia="仿宋_GB2312" w:cs="Times New Roman"/>
          <w:spacing w:val="-8"/>
          <w:sz w:val="32"/>
          <w:szCs w:val="32"/>
        </w:rPr>
        <w:t>—</w:t>
      </w:r>
      <w:r>
        <w:rPr>
          <w:rFonts w:eastAsia="仿宋_GB2312" w:cs="Times New Roman"/>
          <w:spacing w:val="-8"/>
          <w:sz w:val="32"/>
          <w:szCs w:val="32"/>
        </w:rPr>
        <w:t>8月水质来看，除6、8月外，其余月份水质均为劣V类，水质有所变差，主要超标指标依然为氨氮和化学需氧量。</w:t>
      </w:r>
    </w:p>
    <w:p>
      <w:pPr>
        <w:snapToGrid w:val="0"/>
        <w:spacing w:line="240" w:lineRule="auto"/>
        <w:ind w:firstLine="0" w:firstLineChars="0"/>
        <w:jc w:val="center"/>
        <w:rPr>
          <w:rFonts w:eastAsia="仿宋_GB2312" w:cs="Times New Roman"/>
          <w:sz w:val="32"/>
          <w:szCs w:val="32"/>
        </w:rPr>
      </w:pPr>
      <w:r>
        <w:rPr>
          <w:rFonts w:cs="Times New Roman"/>
        </w:rPr>
        <w:drawing>
          <wp:inline distT="0" distB="0" distL="114300" distR="114300">
            <wp:extent cx="5412740" cy="1884045"/>
            <wp:effectExtent l="0" t="0" r="16510" b="1905"/>
            <wp:docPr id="10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65"/>
                    <pic:cNvPicPr>
                      <a:picLocks noChangeAspect="1"/>
                    </pic:cNvPicPr>
                  </pic:nvPicPr>
                  <pic:blipFill>
                    <a:blip r:embed="rId25"/>
                    <a:stretch>
                      <a:fillRect/>
                    </a:stretch>
                  </pic:blipFill>
                  <pic:spPr>
                    <a:xfrm>
                      <a:off x="0" y="0"/>
                      <a:ext cx="5412740" cy="1884045"/>
                    </a:xfrm>
                    <a:prstGeom prst="rect">
                      <a:avLst/>
                    </a:prstGeom>
                    <a:noFill/>
                    <a:ln w="9525">
                      <a:noFill/>
                    </a:ln>
                  </pic:spPr>
                </pic:pic>
              </a:graphicData>
            </a:graphic>
          </wp:inline>
        </w:drawing>
      </w:r>
    </w:p>
    <w:p>
      <w:pPr>
        <w:ind w:firstLine="0" w:firstLineChars="0"/>
        <w:jc w:val="center"/>
        <w:rPr>
          <w:rFonts w:eastAsia="仿宋_GB2312" w:cs="Times New Roman"/>
          <w:b/>
          <w:szCs w:val="32"/>
        </w:rPr>
      </w:pPr>
      <w:r>
        <w:rPr>
          <w:rFonts w:eastAsia="仿宋_GB2312" w:cs="Times New Roman"/>
          <w:b/>
          <w:szCs w:val="32"/>
        </w:rPr>
        <w:t>图3</w:t>
      </w:r>
      <w:r>
        <w:rPr>
          <w:rFonts w:hint="eastAsia" w:eastAsia="仿宋_GB2312" w:cs="Times New Roman"/>
          <w:b/>
          <w:szCs w:val="32"/>
        </w:rPr>
        <w:t>-</w:t>
      </w:r>
      <w:r>
        <w:rPr>
          <w:rFonts w:eastAsia="仿宋_GB2312" w:cs="Times New Roman"/>
          <w:b/>
          <w:szCs w:val="32"/>
        </w:rPr>
        <w:t>1</w:t>
      </w:r>
      <w:r>
        <w:rPr>
          <w:rFonts w:eastAsia="仿宋" w:cs="Times New Roman"/>
          <w:b/>
          <w:szCs w:val="32"/>
        </w:rPr>
        <w:t>泃</w:t>
      </w:r>
      <w:r>
        <w:rPr>
          <w:rFonts w:eastAsia="仿宋_GB2312" w:cs="Times New Roman"/>
          <w:b/>
          <w:szCs w:val="32"/>
        </w:rPr>
        <w:t>河三河东大桥断面2018-2019年各月水质状况</w:t>
      </w:r>
    </w:p>
    <w:p>
      <w:pPr>
        <w:pStyle w:val="3"/>
        <w:autoSpaceDN w:val="0"/>
        <w:adjustRightInd w:val="0"/>
        <w:snapToGrid w:val="0"/>
        <w:spacing w:line="590" w:lineRule="exact"/>
        <w:ind w:firstLine="643"/>
        <w:rPr>
          <w:rFonts w:eastAsia="楷体_GB2312"/>
        </w:rPr>
      </w:pPr>
      <w:bookmarkStart w:id="43" w:name="_Toc23788305"/>
      <w:r>
        <w:rPr>
          <w:rFonts w:eastAsia="楷体_GB2312"/>
        </w:rPr>
        <w:t>3.3当前水质超标风险分析</w:t>
      </w:r>
      <w:bookmarkEnd w:id="43"/>
    </w:p>
    <w:p>
      <w:pPr>
        <w:pStyle w:val="14"/>
        <w:autoSpaceDN w:val="0"/>
        <w:adjustRightInd w:val="0"/>
        <w:snapToGrid w:val="0"/>
        <w:spacing w:line="590" w:lineRule="exact"/>
        <w:ind w:firstLine="640"/>
        <w:rPr>
          <w:rFonts w:ascii="Times New Roman" w:hAnsi="Times New Roman" w:eastAsia="仿宋"/>
          <w:sz w:val="32"/>
          <w:szCs w:val="32"/>
        </w:rPr>
      </w:pPr>
      <w:r>
        <w:rPr>
          <w:rFonts w:ascii="Times New Roman" w:hAnsi="Times New Roman" w:eastAsia="仿宋"/>
          <w:sz w:val="32"/>
          <w:szCs w:val="32"/>
        </w:rPr>
        <w:t>从泃河三河东大桥断面水质状况分析来看，除了枯水期水质超标，其余月份水质都较好，甚至能达到</w:t>
      </w:r>
      <w:r>
        <w:rPr>
          <w:rFonts w:ascii="Times New Roman" w:hAnsi="Times New Roman"/>
          <w:sz w:val="32"/>
          <w:szCs w:val="32"/>
        </w:rPr>
        <w:t>Ⅳ</w:t>
      </w:r>
      <w:r>
        <w:rPr>
          <w:rFonts w:ascii="Times New Roman" w:hAnsi="Times New Roman" w:eastAsia="仿宋"/>
          <w:sz w:val="32"/>
          <w:szCs w:val="32"/>
        </w:rPr>
        <w:t>类水质，但由于枯水期水质超标较厉害，导致全年水质不达标。未来需要加强超标月份的水质精细化管控，降低超标月份超标污染物浓度。</w:t>
      </w:r>
    </w:p>
    <w:p>
      <w:pPr>
        <w:pStyle w:val="2"/>
        <w:autoSpaceDN w:val="0"/>
        <w:adjustRightInd w:val="0"/>
        <w:snapToGrid w:val="0"/>
        <w:spacing w:line="590" w:lineRule="exact"/>
        <w:ind w:firstLine="640"/>
        <w:jc w:val="both"/>
        <w:rPr>
          <w:szCs w:val="32"/>
        </w:rPr>
      </w:pPr>
      <w:bookmarkStart w:id="44" w:name="_Toc23788306"/>
      <w:r>
        <w:rPr>
          <w:szCs w:val="32"/>
        </w:rPr>
        <w:t>四、污染源状况解析</w:t>
      </w:r>
      <w:bookmarkEnd w:id="44"/>
    </w:p>
    <w:p>
      <w:pPr>
        <w:pStyle w:val="3"/>
        <w:autoSpaceDN w:val="0"/>
        <w:adjustRightInd w:val="0"/>
        <w:snapToGrid w:val="0"/>
        <w:spacing w:line="590" w:lineRule="exact"/>
        <w:ind w:firstLine="643"/>
        <w:rPr>
          <w:rFonts w:eastAsia="楷体_GB2312"/>
        </w:rPr>
      </w:pPr>
      <w:bookmarkStart w:id="45" w:name="_Toc467753413"/>
      <w:bookmarkStart w:id="46" w:name="_Toc23788307"/>
      <w:r>
        <w:rPr>
          <w:rFonts w:eastAsia="楷体_GB2312"/>
        </w:rPr>
        <w:t>4.1污染源排放情况解析</w:t>
      </w:r>
      <w:bookmarkEnd w:id="45"/>
      <w:bookmarkEnd w:id="46"/>
    </w:p>
    <w:p>
      <w:pPr>
        <w:pStyle w:val="4"/>
        <w:autoSpaceDN w:val="0"/>
        <w:adjustRightInd w:val="0"/>
        <w:snapToGrid w:val="0"/>
        <w:ind w:firstLine="643"/>
        <w:rPr>
          <w:color w:val="000000"/>
        </w:rPr>
      </w:pPr>
      <w:bookmarkStart w:id="47" w:name="_Toc23788308"/>
      <w:bookmarkStart w:id="48" w:name="_Toc467753414"/>
      <w:r>
        <w:rPr>
          <w:color w:val="000000"/>
        </w:rPr>
        <w:t>4.1.1工业污染</w:t>
      </w:r>
      <w:bookmarkEnd w:id="47"/>
      <w:bookmarkEnd w:id="48"/>
    </w:p>
    <w:p>
      <w:pPr>
        <w:pStyle w:val="14"/>
        <w:autoSpaceDN w:val="0"/>
        <w:adjustRightInd w:val="0"/>
        <w:snapToGrid w:val="0"/>
        <w:spacing w:line="584" w:lineRule="exact"/>
        <w:ind w:firstLine="640"/>
        <w:rPr>
          <w:rFonts w:ascii="Times New Roman" w:hAnsi="Times New Roman" w:eastAsia="仿宋_GB2312"/>
          <w:sz w:val="32"/>
          <w:szCs w:val="32"/>
        </w:rPr>
      </w:pPr>
      <w:r>
        <w:rPr>
          <w:rFonts w:ascii="Times New Roman" w:hAnsi="Times New Roman" w:eastAsia="仿宋_GB2312"/>
          <w:sz w:val="32"/>
          <w:szCs w:val="32"/>
        </w:rPr>
        <w:t>根据廊坊市2017年环境统计资料，三河市共有21家工业企业，其中</w:t>
      </w:r>
      <w:r>
        <w:rPr>
          <w:rFonts w:ascii="Times New Roman" w:hAnsi="Times New Roman" w:eastAsia="仿宋"/>
          <w:sz w:val="32"/>
          <w:szCs w:val="32"/>
        </w:rPr>
        <w:t>泃</w:t>
      </w:r>
      <w:r>
        <w:rPr>
          <w:rFonts w:ascii="Times New Roman" w:hAnsi="Times New Roman" w:eastAsia="仿宋_GB2312"/>
          <w:sz w:val="32"/>
          <w:szCs w:val="32"/>
        </w:rPr>
        <w:t>河流域共有7家工业企业，废水排放量为145.1万吨，COD排放量为657.8吨，氨氮排放量为68.6吨。</w:t>
      </w:r>
    </w:p>
    <w:p>
      <w:pPr>
        <w:pStyle w:val="4"/>
        <w:autoSpaceDN w:val="0"/>
        <w:adjustRightInd w:val="0"/>
        <w:snapToGrid w:val="0"/>
        <w:ind w:firstLine="643"/>
      </w:pPr>
      <w:bookmarkStart w:id="49" w:name="_Toc467753415"/>
      <w:bookmarkStart w:id="50" w:name="_Toc23788309"/>
      <w:r>
        <w:t>4.1.2生活污染</w:t>
      </w:r>
      <w:bookmarkEnd w:id="49"/>
      <w:bookmarkEnd w:id="50"/>
    </w:p>
    <w:p>
      <w:pPr>
        <w:autoSpaceDN w:val="0"/>
        <w:adjustRightInd w:val="0"/>
        <w:snapToGrid w:val="0"/>
        <w:spacing w:line="584" w:lineRule="exact"/>
        <w:ind w:firstLine="640"/>
        <w:rPr>
          <w:rFonts w:eastAsia="仿宋_GB2312" w:cs="Times New Roman"/>
          <w:color w:val="000000"/>
          <w:sz w:val="32"/>
          <w:szCs w:val="32"/>
        </w:rPr>
      </w:pPr>
      <w:r>
        <w:rPr>
          <w:rFonts w:eastAsia="仿宋_GB2312" w:cs="Times New Roman"/>
          <w:sz w:val="32"/>
          <w:szCs w:val="32"/>
        </w:rPr>
        <w:t>以2017年三河市城乡总体规划的人口统计数据为基础，计算各乡镇城镇和农村生活污水</w:t>
      </w:r>
      <w:r>
        <w:rPr>
          <w:rFonts w:eastAsia="仿宋_GB2312" w:cs="Times New Roman"/>
          <w:color w:val="000000"/>
          <w:sz w:val="32"/>
          <w:szCs w:val="32"/>
        </w:rPr>
        <w:t>和主要污染物排放量。</w:t>
      </w:r>
    </w:p>
    <w:p>
      <w:pPr>
        <w:pStyle w:val="5"/>
        <w:keepNext w:val="0"/>
        <w:keepLines w:val="0"/>
        <w:autoSpaceDN w:val="0"/>
        <w:adjustRightInd w:val="0"/>
        <w:snapToGrid w:val="0"/>
        <w:spacing w:before="0" w:after="0" w:line="584" w:lineRule="exact"/>
        <w:ind w:firstLine="643"/>
        <w:rPr>
          <w:rFonts w:ascii="Times New Roman" w:hAnsi="Times New Roman" w:eastAsia="仿宋_GB2312"/>
          <w:sz w:val="32"/>
          <w:szCs w:val="32"/>
        </w:rPr>
      </w:pPr>
      <w:r>
        <w:rPr>
          <w:rFonts w:ascii="Times New Roman" w:hAnsi="Times New Roman" w:eastAsia="仿宋_GB2312"/>
          <w:sz w:val="32"/>
          <w:szCs w:val="32"/>
        </w:rPr>
        <w:t>（1）城镇生活污水产生量</w:t>
      </w:r>
    </w:p>
    <w:p>
      <w:pPr>
        <w:autoSpaceDN w:val="0"/>
        <w:adjustRightInd w:val="0"/>
        <w:snapToGrid w:val="0"/>
        <w:spacing w:line="584" w:lineRule="exact"/>
        <w:ind w:firstLine="640"/>
        <w:rPr>
          <w:rFonts w:eastAsia="仿宋_GB2312" w:cs="Times New Roman"/>
          <w:color w:val="000000"/>
          <w:sz w:val="32"/>
          <w:szCs w:val="32"/>
        </w:rPr>
      </w:pPr>
      <w:r>
        <w:rPr>
          <w:rFonts w:eastAsia="仿宋_GB2312" w:cs="Times New Roman"/>
          <w:sz w:val="32"/>
          <w:szCs w:val="32"/>
        </w:rPr>
        <w:t>根据三河市用水量统计，城镇人口年生活用水量2065万吨，农村1315万吨。根据以上数据得到三河市城镇人均生活用水量为198.3升/人·天，农村人均生活用水量</w:t>
      </w:r>
      <w:r>
        <w:rPr>
          <w:rFonts w:hint="eastAsia" w:eastAsia="仿宋_GB2312" w:cs="Times New Roman"/>
          <w:sz w:val="32"/>
          <w:szCs w:val="32"/>
        </w:rPr>
        <w:t>为</w:t>
      </w:r>
      <w:r>
        <w:rPr>
          <w:rFonts w:eastAsia="仿宋_GB2312" w:cs="Times New Roman"/>
          <w:sz w:val="32"/>
          <w:szCs w:val="32"/>
        </w:rPr>
        <w:t>108.0升/人·天。截止2017年末，</w:t>
      </w:r>
      <w:r>
        <w:rPr>
          <w:rFonts w:eastAsia="仿宋" w:cs="Times New Roman"/>
          <w:sz w:val="32"/>
          <w:szCs w:val="32"/>
        </w:rPr>
        <w:t>泃</w:t>
      </w:r>
      <w:r>
        <w:rPr>
          <w:rFonts w:eastAsia="仿宋_GB2312" w:cs="Times New Roman"/>
          <w:sz w:val="32"/>
          <w:szCs w:val="32"/>
        </w:rPr>
        <w:t>河流域涉及的城镇人口9.66万人，农村人口23.8万人。</w:t>
      </w:r>
    </w:p>
    <w:p>
      <w:pPr>
        <w:spacing w:before="163" w:beforeLines="50" w:after="163" w:afterLines="50"/>
        <w:ind w:firstLine="0" w:firstLineChars="0"/>
        <w:jc w:val="center"/>
        <w:rPr>
          <w:rFonts w:eastAsia="黑体" w:cs="Times New Roman"/>
          <w:sz w:val="32"/>
          <w:szCs w:val="32"/>
        </w:rPr>
      </w:pPr>
      <w:r>
        <w:rPr>
          <w:rFonts w:eastAsia="黑体" w:cs="Times New Roman"/>
          <w:sz w:val="32"/>
          <w:szCs w:val="32"/>
        </w:rPr>
        <w:t>表4</w:t>
      </w:r>
      <w:r>
        <w:rPr>
          <w:rFonts w:hint="eastAsia" w:eastAsia="黑体" w:cs="Times New Roman"/>
          <w:sz w:val="32"/>
          <w:szCs w:val="32"/>
        </w:rPr>
        <w:t>-</w:t>
      </w:r>
      <w:r>
        <w:rPr>
          <w:rFonts w:eastAsia="黑体" w:cs="Times New Roman"/>
          <w:sz w:val="32"/>
          <w:szCs w:val="32"/>
        </w:rPr>
        <w:t>1　2017年泃河流域三河市街道办事处人口统计</w:t>
      </w:r>
    </w:p>
    <w:tbl>
      <w:tblPr>
        <w:tblStyle w:val="13"/>
        <w:tblW w:w="8737" w:type="dxa"/>
        <w:jc w:val="center"/>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2864"/>
        <w:gridCol w:w="2864"/>
        <w:gridCol w:w="3009"/>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10" w:hRule="atLeast"/>
          <w:jc w:val="center"/>
        </w:trPr>
        <w:tc>
          <w:tcPr>
            <w:tcW w:w="2864"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街镇名</w:t>
            </w:r>
          </w:p>
        </w:tc>
        <w:tc>
          <w:tcPr>
            <w:tcW w:w="2864"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hint="eastAsia" w:ascii="Times New Roman" w:hAnsi="Times New Roman" w:eastAsia="仿宋_GB2312" w:cs="Times New Roman"/>
                <w:sz w:val="21"/>
                <w:szCs w:val="21"/>
              </w:rPr>
            </w:pPr>
            <w:r>
              <w:rPr>
                <w:rFonts w:ascii="Times New Roman" w:hAnsi="Times New Roman" w:eastAsia="仿宋_GB2312" w:cs="Times New Roman"/>
                <w:sz w:val="21"/>
                <w:szCs w:val="21"/>
              </w:rPr>
              <w:t>非农业人口</w:t>
            </w:r>
            <w:r>
              <w:rPr>
                <w:rFonts w:hint="eastAsia" w:ascii="Times New Roman" w:hAnsi="Times New Roman" w:eastAsia="仿宋_GB2312" w:cs="Times New Roman"/>
                <w:sz w:val="21"/>
                <w:szCs w:val="21"/>
              </w:rPr>
              <w:t>（人）</w:t>
            </w:r>
          </w:p>
        </w:tc>
        <w:tc>
          <w:tcPr>
            <w:tcW w:w="3009" w:type="dxa"/>
            <w:tcBorders>
              <w:top w:val="single" w:color="auto" w:sz="4" w:space="0"/>
              <w:left w:val="single" w:color="auto" w:sz="4" w:space="0"/>
              <w:bottom w:val="single" w:color="auto" w:sz="4" w:space="0"/>
              <w:right w:val="single" w:color="auto" w:sz="4" w:space="0"/>
            </w:tcBorders>
            <w:vAlign w:val="center"/>
          </w:tcPr>
          <w:p>
            <w:pPr>
              <w:pStyle w:val="15"/>
              <w:autoSpaceDN w:val="0"/>
              <w:snapToGrid w:val="0"/>
              <w:rPr>
                <w:rFonts w:ascii="Times New Roman" w:hAnsi="Times New Roman" w:eastAsia="仿宋_GB2312" w:cs="Times New Roman"/>
                <w:sz w:val="21"/>
                <w:szCs w:val="21"/>
              </w:rPr>
            </w:pPr>
            <w:r>
              <w:rPr>
                <w:rFonts w:ascii="Times New Roman" w:hAnsi="Times New Roman" w:eastAsia="仿宋_GB2312" w:cs="Times New Roman"/>
                <w:sz w:val="21"/>
                <w:szCs w:val="21"/>
              </w:rPr>
              <w:t>农业人口</w:t>
            </w:r>
            <w:r>
              <w:rPr>
                <w:rFonts w:hint="eastAsia" w:ascii="Times New Roman" w:hAnsi="Times New Roman" w:eastAsia="仿宋_GB2312" w:cs="Times New Roman"/>
                <w:sz w:val="21"/>
                <w:szCs w:val="21"/>
              </w:rPr>
              <w:t>（人）</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10" w:hRule="atLeast"/>
          <w:jc w:val="center"/>
        </w:trPr>
        <w:tc>
          <w:tcPr>
            <w:tcW w:w="2864"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ind w:right="0" w:rightChars="0"/>
              <w:rPr>
                <w:rFonts w:ascii="Times New Roman" w:hAnsi="Times New Roman" w:eastAsia="仿宋_GB2312"/>
                <w:bCs/>
                <w:sz w:val="21"/>
                <w:szCs w:val="21"/>
              </w:rPr>
            </w:pPr>
            <w:r>
              <w:rPr>
                <w:rFonts w:ascii="Times New Roman" w:hAnsi="Times New Roman" w:eastAsia="仿宋_GB2312"/>
                <w:bCs/>
                <w:sz w:val="21"/>
                <w:szCs w:val="21"/>
              </w:rPr>
              <w:t>鼎盛街道</w:t>
            </w:r>
          </w:p>
        </w:tc>
        <w:tc>
          <w:tcPr>
            <w:tcW w:w="2864" w:type="dxa"/>
            <w:tcBorders>
              <w:top w:val="single" w:color="auto" w:sz="4" w:space="0"/>
              <w:left w:val="single" w:color="auto" w:sz="4" w:space="0"/>
              <w:bottom w:val="single" w:color="auto" w:sz="4" w:space="0"/>
              <w:right w:val="single" w:color="auto" w:sz="4" w:space="0"/>
            </w:tcBorders>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sz w:val="21"/>
                <w:szCs w:val="21"/>
              </w:rPr>
              <w:t>14979</w:t>
            </w:r>
          </w:p>
        </w:tc>
        <w:tc>
          <w:tcPr>
            <w:tcW w:w="3009"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10" w:hRule="atLeast"/>
          <w:jc w:val="center"/>
        </w:trPr>
        <w:tc>
          <w:tcPr>
            <w:tcW w:w="2864"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ind w:right="0" w:rightChars="0"/>
              <w:rPr>
                <w:rFonts w:ascii="Times New Roman" w:hAnsi="Times New Roman" w:eastAsia="仿宋_GB2312"/>
                <w:bCs/>
                <w:sz w:val="21"/>
                <w:szCs w:val="21"/>
              </w:rPr>
            </w:pPr>
            <w:r>
              <w:rPr>
                <w:rFonts w:ascii="Times New Roman" w:hAnsi="Times New Roman" w:eastAsia="仿宋"/>
                <w:bCs/>
                <w:sz w:val="21"/>
                <w:szCs w:val="21"/>
              </w:rPr>
              <w:t>泃</w:t>
            </w:r>
            <w:r>
              <w:rPr>
                <w:rFonts w:ascii="Times New Roman" w:hAnsi="Times New Roman" w:eastAsia="仿宋_GB2312"/>
                <w:bCs/>
                <w:sz w:val="21"/>
                <w:szCs w:val="21"/>
              </w:rPr>
              <w:t>阳街道</w:t>
            </w:r>
          </w:p>
        </w:tc>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27294</w:t>
            </w:r>
          </w:p>
        </w:tc>
        <w:tc>
          <w:tcPr>
            <w:tcW w:w="3009"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10" w:hRule="atLeast"/>
          <w:jc w:val="center"/>
        </w:trPr>
        <w:tc>
          <w:tcPr>
            <w:tcW w:w="2864" w:type="dxa"/>
            <w:tcBorders>
              <w:top w:val="single" w:color="auto" w:sz="4" w:space="0"/>
              <w:left w:val="single" w:color="auto" w:sz="4" w:space="0"/>
              <w:bottom w:val="single" w:color="auto" w:sz="4" w:space="0"/>
              <w:right w:val="single" w:color="auto" w:sz="4" w:space="0"/>
            </w:tcBorders>
            <w:vAlign w:val="center"/>
          </w:tcPr>
          <w:p>
            <w:pPr>
              <w:widowControl/>
              <w:snapToGrid w:val="0"/>
              <w:spacing w:line="240" w:lineRule="auto"/>
              <w:ind w:firstLine="0" w:firstLineChars="0"/>
              <w:jc w:val="center"/>
              <w:rPr>
                <w:rFonts w:eastAsia="仿宋_GB2312" w:cs="Times New Roman"/>
                <w:kern w:val="0"/>
                <w:sz w:val="21"/>
                <w:szCs w:val="21"/>
              </w:rPr>
            </w:pPr>
            <w:r>
              <w:rPr>
                <w:rFonts w:eastAsia="仿宋" w:cs="Times New Roman"/>
                <w:sz w:val="21"/>
                <w:szCs w:val="21"/>
              </w:rPr>
              <w:t>泃</w:t>
            </w:r>
            <w:r>
              <w:rPr>
                <w:rFonts w:eastAsia="仿宋_GB2312" w:cs="Times New Roman"/>
                <w:sz w:val="21"/>
                <w:szCs w:val="21"/>
              </w:rPr>
              <w:t xml:space="preserve"> 阳 镇</w:t>
            </w:r>
          </w:p>
        </w:tc>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21618</w:t>
            </w:r>
          </w:p>
        </w:tc>
        <w:tc>
          <w:tcPr>
            <w:tcW w:w="3009"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37923</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10" w:hRule="atLeast"/>
          <w:jc w:val="center"/>
        </w:trPr>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新 集 镇</w:t>
            </w:r>
          </w:p>
        </w:tc>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4712</w:t>
            </w:r>
          </w:p>
        </w:tc>
        <w:tc>
          <w:tcPr>
            <w:tcW w:w="3009"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43657</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10" w:hRule="atLeast"/>
          <w:jc w:val="center"/>
        </w:trPr>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皇 庄 镇</w:t>
            </w:r>
          </w:p>
        </w:tc>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5687</w:t>
            </w:r>
          </w:p>
        </w:tc>
        <w:tc>
          <w:tcPr>
            <w:tcW w:w="3009"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40518</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10" w:hRule="atLeast"/>
          <w:jc w:val="center"/>
        </w:trPr>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杨 庄 镇</w:t>
            </w:r>
          </w:p>
        </w:tc>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3568</w:t>
            </w:r>
          </w:p>
        </w:tc>
        <w:tc>
          <w:tcPr>
            <w:tcW w:w="3009"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24934</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10" w:hRule="atLeast"/>
          <w:jc w:val="center"/>
        </w:trPr>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段甲岭镇</w:t>
            </w:r>
          </w:p>
        </w:tc>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5212</w:t>
            </w:r>
          </w:p>
        </w:tc>
        <w:tc>
          <w:tcPr>
            <w:tcW w:w="3009"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17518</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10" w:hRule="atLeast"/>
          <w:jc w:val="center"/>
        </w:trPr>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黄土庄镇</w:t>
            </w:r>
          </w:p>
        </w:tc>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5111</w:t>
            </w:r>
          </w:p>
        </w:tc>
        <w:tc>
          <w:tcPr>
            <w:tcW w:w="3009"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31108</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10" w:hRule="atLeast"/>
          <w:jc w:val="center"/>
        </w:trPr>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李旗庄镇</w:t>
            </w:r>
          </w:p>
        </w:tc>
        <w:tc>
          <w:tcPr>
            <w:tcW w:w="286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4237</w:t>
            </w:r>
          </w:p>
        </w:tc>
        <w:tc>
          <w:tcPr>
            <w:tcW w:w="3009"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21274</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10" w:hRule="atLeast"/>
          <w:jc w:val="center"/>
        </w:trPr>
        <w:tc>
          <w:tcPr>
            <w:tcW w:w="2864"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ind w:right="0" w:rightChars="0"/>
              <w:rPr>
                <w:rFonts w:ascii="Times New Roman" w:hAnsi="Times New Roman" w:eastAsia="仿宋_GB2312"/>
                <w:bCs/>
                <w:sz w:val="21"/>
                <w:szCs w:val="21"/>
              </w:rPr>
            </w:pPr>
            <w:r>
              <w:rPr>
                <w:rFonts w:ascii="Times New Roman" w:hAnsi="Times New Roman" w:eastAsia="仿宋_GB2312"/>
                <w:bCs/>
                <w:sz w:val="21"/>
                <w:szCs w:val="21"/>
              </w:rPr>
              <w:t>齐心庄镇</w:t>
            </w:r>
          </w:p>
        </w:tc>
        <w:tc>
          <w:tcPr>
            <w:tcW w:w="2864" w:type="dxa"/>
            <w:tcBorders>
              <w:top w:val="single" w:color="auto" w:sz="4" w:space="0"/>
              <w:left w:val="single" w:color="auto" w:sz="4" w:space="0"/>
              <w:bottom w:val="single" w:color="auto" w:sz="4" w:space="0"/>
              <w:right w:val="single" w:color="auto" w:sz="4" w:space="0"/>
            </w:tcBorders>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sz w:val="21"/>
                <w:szCs w:val="21"/>
              </w:rPr>
              <w:t>4149</w:t>
            </w:r>
          </w:p>
        </w:tc>
        <w:tc>
          <w:tcPr>
            <w:tcW w:w="3009"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20850</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10" w:hRule="atLeast"/>
          <w:jc w:val="center"/>
        </w:trPr>
        <w:tc>
          <w:tcPr>
            <w:tcW w:w="2864"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ind w:right="0" w:rightChars="0"/>
              <w:rPr>
                <w:rFonts w:ascii="Times New Roman" w:hAnsi="Times New Roman" w:eastAsia="仿宋_GB2312"/>
                <w:bCs/>
                <w:sz w:val="21"/>
                <w:szCs w:val="21"/>
              </w:rPr>
            </w:pPr>
            <w:r>
              <w:rPr>
                <w:rFonts w:ascii="Times New Roman" w:hAnsi="Times New Roman" w:eastAsia="仿宋_GB2312"/>
                <w:bCs/>
                <w:sz w:val="21"/>
                <w:szCs w:val="21"/>
              </w:rPr>
              <w:t>合计</w:t>
            </w:r>
          </w:p>
        </w:tc>
        <w:tc>
          <w:tcPr>
            <w:tcW w:w="2864"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ind w:right="0" w:rightChars="0"/>
              <w:rPr>
                <w:rFonts w:ascii="Times New Roman" w:hAnsi="Times New Roman" w:eastAsia="仿宋_GB2312"/>
                <w:sz w:val="21"/>
                <w:szCs w:val="21"/>
              </w:rPr>
            </w:pPr>
            <w:r>
              <w:rPr>
                <w:rFonts w:ascii="Times New Roman" w:hAnsi="Times New Roman" w:eastAsia="仿宋_GB2312"/>
                <w:sz w:val="21"/>
                <w:szCs w:val="21"/>
              </w:rPr>
              <w:t>96567</w:t>
            </w:r>
          </w:p>
        </w:tc>
        <w:tc>
          <w:tcPr>
            <w:tcW w:w="3009"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ind w:right="0" w:rightChars="0"/>
              <w:rPr>
                <w:rFonts w:ascii="Times New Roman" w:hAnsi="Times New Roman" w:eastAsia="仿宋_GB2312"/>
                <w:sz w:val="21"/>
                <w:szCs w:val="21"/>
              </w:rPr>
            </w:pPr>
            <w:r>
              <w:rPr>
                <w:rFonts w:ascii="Times New Roman" w:hAnsi="Times New Roman" w:eastAsia="仿宋_GB2312"/>
                <w:sz w:val="21"/>
                <w:szCs w:val="21"/>
              </w:rPr>
              <w:t>237782</w:t>
            </w:r>
          </w:p>
        </w:tc>
      </w:tr>
    </w:tbl>
    <w:p>
      <w:pPr>
        <w:pStyle w:val="14"/>
        <w:autoSpaceDN w:val="0"/>
        <w:snapToGrid w:val="0"/>
        <w:spacing w:after="163" w:afterLines="50" w:line="584" w:lineRule="exact"/>
        <w:ind w:firstLine="640"/>
        <w:rPr>
          <w:rFonts w:ascii="Times New Roman" w:hAnsi="Times New Roman" w:eastAsia="仿宋_GB2312"/>
          <w:sz w:val="32"/>
          <w:szCs w:val="32"/>
        </w:rPr>
      </w:pPr>
      <w:r>
        <w:rPr>
          <w:rFonts w:ascii="Times New Roman" w:hAnsi="Times New Roman" w:eastAsia="仿宋_GB2312"/>
          <w:sz w:val="32"/>
          <w:szCs w:val="32"/>
        </w:rPr>
        <w:t>目前三河市城区中心为鼎盛街道及</w:t>
      </w:r>
      <w:r>
        <w:rPr>
          <w:rFonts w:ascii="Times New Roman" w:hAnsi="Times New Roman" w:eastAsia="仿宋"/>
          <w:sz w:val="32"/>
          <w:szCs w:val="32"/>
        </w:rPr>
        <w:t>泃</w:t>
      </w:r>
      <w:r>
        <w:rPr>
          <w:rFonts w:ascii="Times New Roman" w:hAnsi="Times New Roman" w:eastAsia="仿宋_GB2312"/>
          <w:sz w:val="32"/>
          <w:szCs w:val="32"/>
        </w:rPr>
        <w:t>阳街道，而</w:t>
      </w:r>
      <w:r>
        <w:rPr>
          <w:rFonts w:ascii="Times New Roman" w:hAnsi="Times New Roman" w:eastAsia="仿宋"/>
          <w:sz w:val="32"/>
          <w:szCs w:val="32"/>
        </w:rPr>
        <w:t>泃</w:t>
      </w:r>
      <w:r>
        <w:rPr>
          <w:rFonts w:ascii="Times New Roman" w:hAnsi="Times New Roman" w:eastAsia="仿宋_GB2312"/>
          <w:sz w:val="32"/>
          <w:szCs w:val="32"/>
        </w:rPr>
        <w:t>阳镇也已全部纳入城区范围内，因此城镇生活污水产生量按照5.95万人计算。以城镇生活污水折污系数0.9计，计算得出各街镇生活污水产生量</w:t>
      </w:r>
      <w:r>
        <w:rPr>
          <w:rFonts w:ascii="Times New Roman" w:hAnsi="Times New Roman" w:eastAsia="仿宋"/>
          <w:sz w:val="32"/>
          <w:szCs w:val="32"/>
        </w:rPr>
        <w:t>，泃</w:t>
      </w:r>
      <w:r>
        <w:rPr>
          <w:rFonts w:ascii="Times New Roman" w:hAnsi="Times New Roman" w:eastAsia="仿宋_GB2312"/>
          <w:sz w:val="32"/>
          <w:szCs w:val="32"/>
        </w:rPr>
        <w:t>河流域城镇生活污水产生量为2.4万吨/日。</w:t>
      </w:r>
    </w:p>
    <w:p>
      <w:pPr>
        <w:spacing w:after="163" w:afterLines="50"/>
        <w:ind w:firstLine="0" w:firstLineChars="0"/>
        <w:jc w:val="center"/>
        <w:rPr>
          <w:rFonts w:eastAsia="黑体" w:cs="Times New Roman"/>
          <w:sz w:val="32"/>
          <w:szCs w:val="32"/>
        </w:rPr>
      </w:pPr>
      <w:r>
        <w:rPr>
          <w:rFonts w:eastAsia="黑体" w:cs="Times New Roman"/>
          <w:sz w:val="32"/>
          <w:szCs w:val="32"/>
        </w:rPr>
        <w:t>表4</w:t>
      </w:r>
      <w:r>
        <w:rPr>
          <w:rFonts w:hint="eastAsia" w:eastAsia="黑体" w:cs="Times New Roman"/>
          <w:sz w:val="32"/>
          <w:szCs w:val="32"/>
        </w:rPr>
        <w:t>-</w:t>
      </w:r>
      <w:r>
        <w:rPr>
          <w:rFonts w:eastAsia="黑体" w:cs="Times New Roman"/>
          <w:sz w:val="32"/>
          <w:szCs w:val="32"/>
        </w:rPr>
        <w:t>2　2017年泃河流域三河市各街镇污水产生量</w:t>
      </w:r>
    </w:p>
    <w:tbl>
      <w:tblPr>
        <w:tblStyle w:val="13"/>
        <w:tblW w:w="878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49"/>
        <w:gridCol w:w="2569"/>
        <w:gridCol w:w="25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20" w:hRule="atLeast"/>
          <w:jc w:val="center"/>
        </w:trPr>
        <w:tc>
          <w:tcPr>
            <w:tcW w:w="3649" w:type="dxa"/>
            <w:vAlign w:val="center"/>
          </w:tcPr>
          <w:p>
            <w:pPr>
              <w:pStyle w:val="15"/>
              <w:autoSpaceDN w:val="0"/>
              <w:snapToGrid w:val="0"/>
              <w:spacing w:line="300" w:lineRule="exact"/>
              <w:rPr>
                <w:rFonts w:ascii="Times New Roman" w:hAnsi="Times New Roman" w:eastAsia="仿宋_GB2312" w:cs="Times New Roman"/>
                <w:sz w:val="21"/>
                <w:szCs w:val="21"/>
              </w:rPr>
            </w:pPr>
            <w:r>
              <w:rPr>
                <w:rFonts w:ascii="Times New Roman" w:hAnsi="Times New Roman" w:eastAsia="仿宋_GB2312" w:cs="Times New Roman"/>
                <w:sz w:val="21"/>
                <w:szCs w:val="21"/>
              </w:rPr>
              <w:t>街镇名</w:t>
            </w:r>
          </w:p>
        </w:tc>
        <w:tc>
          <w:tcPr>
            <w:tcW w:w="2569" w:type="dxa"/>
            <w:tcBorders>
              <w:bottom w:val="single" w:color="auto" w:sz="4" w:space="0"/>
            </w:tcBorders>
            <w:vAlign w:val="center"/>
          </w:tcPr>
          <w:p>
            <w:pPr>
              <w:pStyle w:val="15"/>
              <w:autoSpaceDN w:val="0"/>
              <w:snapToGrid w:val="0"/>
              <w:spacing w:line="300" w:lineRule="exact"/>
              <w:rPr>
                <w:rFonts w:hint="eastAsia" w:ascii="Times New Roman" w:hAnsi="Times New Roman" w:eastAsia="仿宋_GB2312" w:cs="Times New Roman"/>
                <w:sz w:val="21"/>
                <w:szCs w:val="21"/>
              </w:rPr>
            </w:pPr>
            <w:r>
              <w:rPr>
                <w:rFonts w:ascii="Times New Roman" w:hAnsi="Times New Roman" w:eastAsia="仿宋_GB2312" w:cs="Times New Roman"/>
                <w:sz w:val="21"/>
                <w:szCs w:val="21"/>
              </w:rPr>
              <w:t>城镇生活污水产生量</w:t>
            </w:r>
          </w:p>
          <w:p>
            <w:pPr>
              <w:pStyle w:val="15"/>
              <w:autoSpaceDN w:val="0"/>
              <w:snapToGrid w:val="0"/>
              <w:spacing w:line="300" w:lineRule="exact"/>
              <w:rPr>
                <w:rFonts w:ascii="Times New Roman" w:hAnsi="Times New Roman" w:eastAsia="仿宋_GB2312" w:cs="Times New Roman"/>
                <w:sz w:val="21"/>
                <w:szCs w:val="21"/>
              </w:rPr>
            </w:pPr>
            <w:r>
              <w:rPr>
                <w:rFonts w:ascii="Times New Roman" w:hAnsi="Times New Roman" w:eastAsia="仿宋_GB2312" w:cs="Times New Roman"/>
                <w:sz w:val="21"/>
                <w:szCs w:val="21"/>
              </w:rPr>
              <w:t>（万吨/日）</w:t>
            </w:r>
          </w:p>
        </w:tc>
        <w:tc>
          <w:tcPr>
            <w:tcW w:w="2569" w:type="dxa"/>
            <w:tcBorders>
              <w:bottom w:val="single" w:color="auto" w:sz="4" w:space="0"/>
            </w:tcBorders>
            <w:vAlign w:val="center"/>
          </w:tcPr>
          <w:p>
            <w:pPr>
              <w:pStyle w:val="15"/>
              <w:autoSpaceDN w:val="0"/>
              <w:snapToGrid w:val="0"/>
              <w:spacing w:line="300" w:lineRule="exact"/>
              <w:rPr>
                <w:rFonts w:hint="eastAsia" w:ascii="Times New Roman" w:hAnsi="Times New Roman" w:eastAsia="仿宋_GB2312" w:cs="Times New Roman"/>
                <w:sz w:val="21"/>
                <w:szCs w:val="21"/>
              </w:rPr>
            </w:pPr>
            <w:r>
              <w:rPr>
                <w:rFonts w:ascii="Times New Roman" w:hAnsi="Times New Roman" w:eastAsia="仿宋_GB2312" w:cs="Times New Roman"/>
                <w:sz w:val="21"/>
                <w:szCs w:val="21"/>
              </w:rPr>
              <w:t>城镇生活污水产生量</w:t>
            </w:r>
          </w:p>
          <w:p>
            <w:pPr>
              <w:pStyle w:val="15"/>
              <w:autoSpaceDN w:val="0"/>
              <w:snapToGrid w:val="0"/>
              <w:spacing w:line="300" w:lineRule="exact"/>
              <w:rPr>
                <w:rFonts w:ascii="Times New Roman" w:hAnsi="Times New Roman" w:eastAsia="仿宋_GB2312" w:cs="Times New Roman"/>
                <w:sz w:val="21"/>
                <w:szCs w:val="21"/>
              </w:rPr>
            </w:pPr>
            <w:r>
              <w:rPr>
                <w:rFonts w:ascii="Times New Roman" w:hAnsi="Times New Roman" w:eastAsia="仿宋_GB2312" w:cs="Times New Roman"/>
                <w:sz w:val="21"/>
                <w:szCs w:val="21"/>
              </w:rPr>
              <w:t>（万吨/年）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jc w:val="center"/>
        </w:trPr>
        <w:tc>
          <w:tcPr>
            <w:tcW w:w="3649"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spacing w:line="300" w:lineRule="exact"/>
              <w:ind w:right="0" w:rightChars="0"/>
              <w:rPr>
                <w:rFonts w:ascii="Times New Roman" w:hAnsi="Times New Roman" w:eastAsia="仿宋_GB2312"/>
                <w:bCs/>
                <w:sz w:val="21"/>
                <w:szCs w:val="21"/>
              </w:rPr>
            </w:pPr>
            <w:r>
              <w:rPr>
                <w:rFonts w:ascii="Times New Roman" w:hAnsi="Times New Roman" w:eastAsia="仿宋_GB2312"/>
                <w:bCs/>
                <w:sz w:val="21"/>
                <w:szCs w:val="21"/>
              </w:rPr>
              <w:t>鼎盛街道</w:t>
            </w:r>
          </w:p>
        </w:tc>
        <w:tc>
          <w:tcPr>
            <w:tcW w:w="2569" w:type="dxa"/>
            <w:tcBorders>
              <w:top w:val="single" w:color="auto" w:sz="4" w:space="0"/>
              <w:left w:val="nil"/>
              <w:bottom w:val="single" w:color="auto" w:sz="4" w:space="0"/>
              <w:right w:val="single" w:color="auto" w:sz="4" w:space="0"/>
            </w:tcBorders>
            <w:vAlign w:val="center"/>
          </w:tcPr>
          <w:p>
            <w:pPr>
              <w:widowControl/>
              <w:spacing w:line="300" w:lineRule="exact"/>
              <w:ind w:firstLine="0" w:firstLineChars="0"/>
              <w:jc w:val="center"/>
              <w:rPr>
                <w:rFonts w:eastAsia="仿宋_GB2312" w:cs="Times New Roman"/>
                <w:color w:val="000000"/>
                <w:kern w:val="0"/>
                <w:sz w:val="21"/>
                <w:szCs w:val="21"/>
              </w:rPr>
            </w:pPr>
            <w:r>
              <w:rPr>
                <w:rFonts w:eastAsia="仿宋_GB2312" w:cs="Times New Roman"/>
                <w:color w:val="000000"/>
                <w:sz w:val="21"/>
                <w:szCs w:val="21"/>
              </w:rPr>
              <w:t>0.27</w:t>
            </w:r>
          </w:p>
        </w:tc>
        <w:tc>
          <w:tcPr>
            <w:tcW w:w="2569"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97.58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jc w:val="center"/>
        </w:trPr>
        <w:tc>
          <w:tcPr>
            <w:tcW w:w="3649" w:type="dxa"/>
            <w:tcBorders>
              <w:top w:val="single" w:color="auto" w:sz="4" w:space="0"/>
              <w:left w:val="single" w:color="auto" w:sz="4" w:space="0"/>
              <w:bottom w:val="single" w:color="auto" w:sz="4" w:space="0"/>
              <w:right w:val="single" w:color="auto" w:sz="4" w:space="0"/>
            </w:tcBorders>
            <w:vAlign w:val="center"/>
          </w:tcPr>
          <w:p>
            <w:pPr>
              <w:pStyle w:val="16"/>
              <w:autoSpaceDN w:val="0"/>
              <w:snapToGrid w:val="0"/>
              <w:spacing w:line="300" w:lineRule="exact"/>
              <w:ind w:right="0" w:rightChars="0"/>
              <w:rPr>
                <w:rFonts w:ascii="Times New Roman" w:hAnsi="Times New Roman" w:eastAsia="仿宋_GB2312"/>
                <w:bCs/>
                <w:sz w:val="21"/>
                <w:szCs w:val="21"/>
              </w:rPr>
            </w:pPr>
            <w:r>
              <w:rPr>
                <w:rFonts w:ascii="Times New Roman" w:hAnsi="Times New Roman" w:eastAsia="仿宋"/>
                <w:bCs/>
                <w:sz w:val="21"/>
                <w:szCs w:val="21"/>
              </w:rPr>
              <w:t>泃</w:t>
            </w:r>
            <w:r>
              <w:rPr>
                <w:rFonts w:ascii="Times New Roman" w:hAnsi="Times New Roman" w:eastAsia="仿宋_GB2312"/>
                <w:bCs/>
                <w:sz w:val="21"/>
                <w:szCs w:val="21"/>
              </w:rPr>
              <w:t>阳街道</w:t>
            </w:r>
          </w:p>
        </w:tc>
        <w:tc>
          <w:tcPr>
            <w:tcW w:w="2569"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0.49</w:t>
            </w:r>
          </w:p>
        </w:tc>
        <w:tc>
          <w:tcPr>
            <w:tcW w:w="2569"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177.80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jc w:val="center"/>
        </w:trPr>
        <w:tc>
          <w:tcPr>
            <w:tcW w:w="3649"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 w:cs="Times New Roman"/>
                <w:color w:val="000000"/>
                <w:sz w:val="21"/>
                <w:szCs w:val="21"/>
              </w:rPr>
              <w:t xml:space="preserve">泃 </w:t>
            </w:r>
            <w:r>
              <w:rPr>
                <w:rFonts w:eastAsia="仿宋_GB2312" w:cs="Times New Roman"/>
                <w:color w:val="000000"/>
                <w:sz w:val="21"/>
                <w:szCs w:val="21"/>
              </w:rPr>
              <w:t>阳 镇</w:t>
            </w:r>
          </w:p>
        </w:tc>
        <w:tc>
          <w:tcPr>
            <w:tcW w:w="2569"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1.06</w:t>
            </w:r>
          </w:p>
        </w:tc>
        <w:tc>
          <w:tcPr>
            <w:tcW w:w="2569"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387.86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2" w:hRule="atLeast"/>
          <w:jc w:val="center"/>
        </w:trPr>
        <w:tc>
          <w:tcPr>
            <w:tcW w:w="3649"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新 集 镇</w:t>
            </w:r>
          </w:p>
        </w:tc>
        <w:tc>
          <w:tcPr>
            <w:tcW w:w="2569"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0.08</w:t>
            </w:r>
          </w:p>
        </w:tc>
        <w:tc>
          <w:tcPr>
            <w:tcW w:w="2569"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30.69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jc w:val="center"/>
        </w:trPr>
        <w:tc>
          <w:tcPr>
            <w:tcW w:w="3649"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皇 庄 镇</w:t>
            </w:r>
          </w:p>
        </w:tc>
        <w:tc>
          <w:tcPr>
            <w:tcW w:w="2569"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0.10</w:t>
            </w:r>
          </w:p>
        </w:tc>
        <w:tc>
          <w:tcPr>
            <w:tcW w:w="2569"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37.05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jc w:val="center"/>
        </w:trPr>
        <w:tc>
          <w:tcPr>
            <w:tcW w:w="3649"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杨 庄 镇</w:t>
            </w:r>
          </w:p>
        </w:tc>
        <w:tc>
          <w:tcPr>
            <w:tcW w:w="2569"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0.06</w:t>
            </w:r>
          </w:p>
        </w:tc>
        <w:tc>
          <w:tcPr>
            <w:tcW w:w="2569"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23.24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jc w:val="center"/>
        </w:trPr>
        <w:tc>
          <w:tcPr>
            <w:tcW w:w="3649"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段甲岭镇</w:t>
            </w:r>
          </w:p>
        </w:tc>
        <w:tc>
          <w:tcPr>
            <w:tcW w:w="2569"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0.09</w:t>
            </w:r>
          </w:p>
        </w:tc>
        <w:tc>
          <w:tcPr>
            <w:tcW w:w="2569"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33.95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jc w:val="center"/>
        </w:trPr>
        <w:tc>
          <w:tcPr>
            <w:tcW w:w="3649"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黄土庄镇</w:t>
            </w:r>
          </w:p>
        </w:tc>
        <w:tc>
          <w:tcPr>
            <w:tcW w:w="2569"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0.09</w:t>
            </w:r>
          </w:p>
        </w:tc>
        <w:tc>
          <w:tcPr>
            <w:tcW w:w="2569"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33.29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jc w:val="center"/>
        </w:trPr>
        <w:tc>
          <w:tcPr>
            <w:tcW w:w="3649"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李旗庄镇</w:t>
            </w:r>
          </w:p>
        </w:tc>
        <w:tc>
          <w:tcPr>
            <w:tcW w:w="2569"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0.08</w:t>
            </w:r>
          </w:p>
        </w:tc>
        <w:tc>
          <w:tcPr>
            <w:tcW w:w="2569"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27.60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jc w:val="center"/>
        </w:trPr>
        <w:tc>
          <w:tcPr>
            <w:tcW w:w="3649"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齐心庄镇</w:t>
            </w:r>
          </w:p>
        </w:tc>
        <w:tc>
          <w:tcPr>
            <w:tcW w:w="2569"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0.07</w:t>
            </w:r>
          </w:p>
        </w:tc>
        <w:tc>
          <w:tcPr>
            <w:tcW w:w="2569"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27.03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2" w:hRule="atLeast"/>
          <w:jc w:val="center"/>
        </w:trPr>
        <w:tc>
          <w:tcPr>
            <w:tcW w:w="3649"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合计</w:t>
            </w:r>
          </w:p>
        </w:tc>
        <w:tc>
          <w:tcPr>
            <w:tcW w:w="2569"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2.40</w:t>
            </w:r>
          </w:p>
        </w:tc>
        <w:tc>
          <w:tcPr>
            <w:tcW w:w="2569" w:type="dxa"/>
            <w:tcBorders>
              <w:top w:val="single" w:color="auto" w:sz="4" w:space="0"/>
              <w:left w:val="single" w:color="auto" w:sz="4" w:space="0"/>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876.09</w:t>
            </w:r>
          </w:p>
        </w:tc>
      </w:tr>
    </w:tbl>
    <w:p>
      <w:pPr>
        <w:pStyle w:val="5"/>
        <w:keepNext w:val="0"/>
        <w:keepLines w:val="0"/>
        <w:autoSpaceDN w:val="0"/>
        <w:snapToGrid w:val="0"/>
        <w:spacing w:before="0" w:after="0" w:line="584" w:lineRule="exact"/>
        <w:ind w:firstLine="643"/>
        <w:rPr>
          <w:rFonts w:ascii="Times New Roman" w:hAnsi="Times New Roman" w:eastAsia="仿宋_GB2312"/>
          <w:sz w:val="32"/>
          <w:szCs w:val="32"/>
        </w:rPr>
      </w:pPr>
      <w:r>
        <w:rPr>
          <w:rFonts w:ascii="Times New Roman" w:hAnsi="Times New Roman" w:eastAsia="仿宋_GB2312"/>
          <w:sz w:val="32"/>
          <w:szCs w:val="32"/>
        </w:rPr>
        <w:t>（2）农村生活污水产生量</w:t>
      </w:r>
    </w:p>
    <w:p>
      <w:pPr>
        <w:pStyle w:val="14"/>
        <w:autoSpaceDN w:val="0"/>
        <w:snapToGrid w:val="0"/>
        <w:spacing w:after="163" w:afterLines="50" w:line="584" w:lineRule="exact"/>
        <w:ind w:firstLine="640"/>
        <w:rPr>
          <w:rFonts w:ascii="Times New Roman" w:hAnsi="Times New Roman" w:eastAsia="仿宋_GB2312"/>
          <w:sz w:val="32"/>
          <w:szCs w:val="32"/>
        </w:rPr>
      </w:pPr>
      <w:r>
        <w:rPr>
          <w:rFonts w:ascii="Times New Roman" w:hAnsi="Times New Roman" w:eastAsia="仿宋_GB2312"/>
          <w:sz w:val="32"/>
          <w:szCs w:val="32"/>
        </w:rPr>
        <w:t>根据《河北省农村生活污水和垃圾处理使用技术指南》，农村生活污水折污系数取0.8。则计算</w:t>
      </w:r>
      <w:r>
        <w:rPr>
          <w:rFonts w:ascii="Times New Roman" w:hAnsi="Times New Roman" w:eastAsia="仿宋"/>
          <w:sz w:val="32"/>
          <w:szCs w:val="32"/>
        </w:rPr>
        <w:t>泃</w:t>
      </w:r>
      <w:r>
        <w:rPr>
          <w:rFonts w:ascii="Times New Roman" w:hAnsi="Times New Roman" w:eastAsia="仿宋_GB2312"/>
          <w:sz w:val="32"/>
          <w:szCs w:val="32"/>
        </w:rPr>
        <w:t>河流域三河市农村污水产生量计算结果如表4</w:t>
      </w:r>
      <w:r>
        <w:rPr>
          <w:rFonts w:hint="eastAsia" w:ascii="Times New Roman" w:hAnsi="Times New Roman" w:eastAsia="仿宋_GB2312"/>
          <w:sz w:val="32"/>
          <w:szCs w:val="32"/>
        </w:rPr>
        <w:t>-</w:t>
      </w:r>
      <w:r>
        <w:rPr>
          <w:rFonts w:ascii="Times New Roman" w:hAnsi="Times New Roman" w:eastAsia="仿宋_GB2312"/>
          <w:sz w:val="32"/>
          <w:szCs w:val="32"/>
        </w:rPr>
        <w:t>3，农村生活污水产生量为1.73万吨/日。</w:t>
      </w:r>
    </w:p>
    <w:p>
      <w:pPr>
        <w:spacing w:after="163" w:afterLines="50"/>
        <w:ind w:firstLine="0" w:firstLineChars="0"/>
        <w:jc w:val="center"/>
        <w:rPr>
          <w:rFonts w:eastAsia="黑体" w:cs="Times New Roman"/>
          <w:sz w:val="32"/>
          <w:szCs w:val="32"/>
        </w:rPr>
      </w:pPr>
      <w:r>
        <w:rPr>
          <w:rFonts w:eastAsia="黑体" w:cs="Times New Roman"/>
          <w:sz w:val="32"/>
          <w:szCs w:val="32"/>
        </w:rPr>
        <w:t>表4</w:t>
      </w:r>
      <w:r>
        <w:rPr>
          <w:rFonts w:hint="eastAsia" w:eastAsia="黑体" w:cs="Times New Roman"/>
          <w:sz w:val="32"/>
          <w:szCs w:val="32"/>
        </w:rPr>
        <w:t>-</w:t>
      </w:r>
      <w:r>
        <w:rPr>
          <w:rFonts w:eastAsia="黑体" w:cs="Times New Roman"/>
          <w:sz w:val="32"/>
          <w:szCs w:val="32"/>
        </w:rPr>
        <w:t>3　2017年泃河流域三河市农村生活污水排放量</w:t>
      </w:r>
    </w:p>
    <w:tbl>
      <w:tblPr>
        <w:tblStyle w:val="13"/>
        <w:tblW w:w="874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77"/>
        <w:gridCol w:w="2278"/>
        <w:gridCol w:w="37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9" w:hRule="atLeast"/>
          <w:jc w:val="center"/>
        </w:trPr>
        <w:tc>
          <w:tcPr>
            <w:tcW w:w="2677" w:type="dxa"/>
            <w:vAlign w:val="center"/>
          </w:tcPr>
          <w:p>
            <w:pPr>
              <w:pStyle w:val="15"/>
              <w:autoSpaceDN w:val="0"/>
              <w:snapToGrid w:val="0"/>
              <w:spacing w:line="300" w:lineRule="exact"/>
              <w:rPr>
                <w:rFonts w:ascii="Times New Roman" w:hAnsi="Times New Roman" w:eastAsia="仿宋_GB2312" w:cs="Times New Roman"/>
                <w:sz w:val="21"/>
                <w:szCs w:val="21"/>
              </w:rPr>
            </w:pPr>
            <w:r>
              <w:rPr>
                <w:rFonts w:ascii="Times New Roman" w:hAnsi="Times New Roman" w:eastAsia="仿宋_GB2312" w:cs="Times New Roman"/>
                <w:sz w:val="21"/>
                <w:szCs w:val="21"/>
              </w:rPr>
              <w:t>街镇名</w:t>
            </w:r>
          </w:p>
        </w:tc>
        <w:tc>
          <w:tcPr>
            <w:tcW w:w="2278" w:type="dxa"/>
            <w:vAlign w:val="center"/>
          </w:tcPr>
          <w:p>
            <w:pPr>
              <w:pStyle w:val="15"/>
              <w:autoSpaceDN w:val="0"/>
              <w:snapToGrid w:val="0"/>
              <w:spacing w:line="300" w:lineRule="exact"/>
              <w:rPr>
                <w:rFonts w:ascii="Times New Roman" w:hAnsi="Times New Roman" w:eastAsia="仿宋_GB2312" w:cs="Times New Roman"/>
                <w:sz w:val="21"/>
                <w:szCs w:val="21"/>
              </w:rPr>
            </w:pPr>
            <w:r>
              <w:rPr>
                <w:rFonts w:ascii="Times New Roman" w:hAnsi="Times New Roman" w:eastAsia="仿宋_GB2312" w:cs="Times New Roman"/>
                <w:sz w:val="21"/>
                <w:szCs w:val="21"/>
              </w:rPr>
              <w:t>农业人口（人）</w:t>
            </w:r>
          </w:p>
        </w:tc>
        <w:tc>
          <w:tcPr>
            <w:tcW w:w="3791" w:type="dxa"/>
            <w:vAlign w:val="center"/>
          </w:tcPr>
          <w:p>
            <w:pPr>
              <w:pStyle w:val="15"/>
              <w:autoSpaceDN w:val="0"/>
              <w:snapToGrid w:val="0"/>
              <w:spacing w:line="300" w:lineRule="exact"/>
              <w:rPr>
                <w:rFonts w:ascii="Times New Roman" w:hAnsi="Times New Roman" w:eastAsia="仿宋_GB2312" w:cs="Times New Roman"/>
                <w:sz w:val="21"/>
                <w:szCs w:val="21"/>
              </w:rPr>
            </w:pPr>
            <w:r>
              <w:rPr>
                <w:rFonts w:ascii="Times New Roman" w:hAnsi="Times New Roman" w:eastAsia="仿宋_GB2312" w:cs="Times New Roman"/>
                <w:sz w:val="21"/>
                <w:szCs w:val="21"/>
              </w:rPr>
              <w:t>农村生活污水产生量（万吨/日）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9" w:hRule="atLeast"/>
          <w:jc w:val="center"/>
        </w:trPr>
        <w:tc>
          <w:tcPr>
            <w:tcW w:w="2677"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新 集 镇</w:t>
            </w:r>
          </w:p>
        </w:tc>
        <w:tc>
          <w:tcPr>
            <w:tcW w:w="2278" w:type="dxa"/>
            <w:vAlign w:val="center"/>
          </w:tcPr>
          <w:p>
            <w:pPr>
              <w:snapToGrid w:val="0"/>
              <w:spacing w:line="300" w:lineRule="exact"/>
              <w:ind w:firstLine="0" w:firstLineChars="0"/>
              <w:jc w:val="center"/>
              <w:rPr>
                <w:rFonts w:eastAsia="仿宋_GB2312" w:cs="Times New Roman"/>
                <w:sz w:val="21"/>
                <w:szCs w:val="21"/>
              </w:rPr>
            </w:pPr>
            <w:r>
              <w:rPr>
                <w:rFonts w:eastAsia="仿宋_GB2312" w:cs="Times New Roman"/>
                <w:sz w:val="21"/>
                <w:szCs w:val="21"/>
              </w:rPr>
              <w:t>43657</w:t>
            </w:r>
          </w:p>
        </w:tc>
        <w:tc>
          <w:tcPr>
            <w:tcW w:w="3791" w:type="dxa"/>
            <w:tcBorders>
              <w:top w:val="single" w:color="auto" w:sz="4" w:space="0"/>
              <w:left w:val="nil"/>
              <w:bottom w:val="single" w:color="auto" w:sz="4" w:space="0"/>
              <w:right w:val="single" w:color="auto" w:sz="4" w:space="0"/>
            </w:tcBorders>
            <w:vAlign w:val="center"/>
          </w:tcPr>
          <w:p>
            <w:pPr>
              <w:widowControl/>
              <w:spacing w:line="300" w:lineRule="exact"/>
              <w:ind w:firstLine="0" w:firstLineChars="0"/>
              <w:jc w:val="center"/>
              <w:rPr>
                <w:rFonts w:eastAsia="仿宋_GB2312" w:cs="Times New Roman"/>
                <w:color w:val="000000"/>
                <w:kern w:val="0"/>
                <w:sz w:val="21"/>
                <w:szCs w:val="21"/>
              </w:rPr>
            </w:pPr>
            <w:r>
              <w:rPr>
                <w:rFonts w:eastAsia="仿宋_GB2312" w:cs="Times New Roman"/>
                <w:color w:val="000000"/>
                <w:sz w:val="21"/>
                <w:szCs w:val="21"/>
              </w:rPr>
              <w:t>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9" w:hRule="atLeast"/>
          <w:jc w:val="center"/>
        </w:trPr>
        <w:tc>
          <w:tcPr>
            <w:tcW w:w="2677"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皇 庄 镇</w:t>
            </w:r>
          </w:p>
        </w:tc>
        <w:tc>
          <w:tcPr>
            <w:tcW w:w="2278" w:type="dxa"/>
            <w:vAlign w:val="center"/>
          </w:tcPr>
          <w:p>
            <w:pPr>
              <w:snapToGrid w:val="0"/>
              <w:spacing w:line="300" w:lineRule="exact"/>
              <w:ind w:firstLine="0" w:firstLineChars="0"/>
              <w:jc w:val="center"/>
              <w:rPr>
                <w:rFonts w:eastAsia="仿宋_GB2312" w:cs="Times New Roman"/>
                <w:sz w:val="21"/>
                <w:szCs w:val="21"/>
              </w:rPr>
            </w:pPr>
            <w:r>
              <w:rPr>
                <w:rFonts w:eastAsia="仿宋_GB2312" w:cs="Times New Roman"/>
                <w:sz w:val="21"/>
                <w:szCs w:val="21"/>
              </w:rPr>
              <w:t>40518</w:t>
            </w:r>
          </w:p>
        </w:tc>
        <w:tc>
          <w:tcPr>
            <w:tcW w:w="3791"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9" w:hRule="atLeast"/>
          <w:jc w:val="center"/>
        </w:trPr>
        <w:tc>
          <w:tcPr>
            <w:tcW w:w="2677"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杨 庄 镇</w:t>
            </w:r>
          </w:p>
        </w:tc>
        <w:tc>
          <w:tcPr>
            <w:tcW w:w="2278" w:type="dxa"/>
            <w:vAlign w:val="center"/>
          </w:tcPr>
          <w:p>
            <w:pPr>
              <w:snapToGrid w:val="0"/>
              <w:spacing w:line="300" w:lineRule="exact"/>
              <w:ind w:firstLine="0" w:firstLineChars="0"/>
              <w:jc w:val="center"/>
              <w:rPr>
                <w:rFonts w:eastAsia="仿宋_GB2312" w:cs="Times New Roman"/>
                <w:sz w:val="21"/>
                <w:szCs w:val="21"/>
              </w:rPr>
            </w:pPr>
            <w:r>
              <w:rPr>
                <w:rFonts w:eastAsia="仿宋_GB2312" w:cs="Times New Roman"/>
                <w:sz w:val="21"/>
                <w:szCs w:val="21"/>
              </w:rPr>
              <w:t>24934</w:t>
            </w:r>
          </w:p>
        </w:tc>
        <w:tc>
          <w:tcPr>
            <w:tcW w:w="3791"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9" w:hRule="atLeast"/>
          <w:jc w:val="center"/>
        </w:trPr>
        <w:tc>
          <w:tcPr>
            <w:tcW w:w="2677"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段甲岭镇</w:t>
            </w:r>
          </w:p>
        </w:tc>
        <w:tc>
          <w:tcPr>
            <w:tcW w:w="2278" w:type="dxa"/>
            <w:vAlign w:val="center"/>
          </w:tcPr>
          <w:p>
            <w:pPr>
              <w:snapToGrid w:val="0"/>
              <w:spacing w:line="300" w:lineRule="exact"/>
              <w:ind w:firstLine="0" w:firstLineChars="0"/>
              <w:jc w:val="center"/>
              <w:rPr>
                <w:rFonts w:eastAsia="仿宋_GB2312" w:cs="Times New Roman"/>
                <w:sz w:val="21"/>
                <w:szCs w:val="21"/>
              </w:rPr>
            </w:pPr>
            <w:r>
              <w:rPr>
                <w:rFonts w:eastAsia="仿宋_GB2312" w:cs="Times New Roman"/>
                <w:sz w:val="21"/>
                <w:szCs w:val="21"/>
              </w:rPr>
              <w:t>17518</w:t>
            </w:r>
          </w:p>
        </w:tc>
        <w:tc>
          <w:tcPr>
            <w:tcW w:w="3791"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9" w:hRule="atLeast"/>
          <w:jc w:val="center"/>
        </w:trPr>
        <w:tc>
          <w:tcPr>
            <w:tcW w:w="2677"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黄土庄镇</w:t>
            </w:r>
          </w:p>
        </w:tc>
        <w:tc>
          <w:tcPr>
            <w:tcW w:w="2278" w:type="dxa"/>
            <w:vAlign w:val="center"/>
          </w:tcPr>
          <w:p>
            <w:pPr>
              <w:snapToGrid w:val="0"/>
              <w:spacing w:line="300" w:lineRule="exact"/>
              <w:ind w:firstLine="0" w:firstLineChars="0"/>
              <w:jc w:val="center"/>
              <w:rPr>
                <w:rFonts w:eastAsia="仿宋_GB2312" w:cs="Times New Roman"/>
                <w:sz w:val="21"/>
                <w:szCs w:val="21"/>
              </w:rPr>
            </w:pPr>
            <w:r>
              <w:rPr>
                <w:rFonts w:eastAsia="仿宋_GB2312" w:cs="Times New Roman"/>
                <w:sz w:val="21"/>
                <w:szCs w:val="21"/>
              </w:rPr>
              <w:t>31108</w:t>
            </w:r>
          </w:p>
        </w:tc>
        <w:tc>
          <w:tcPr>
            <w:tcW w:w="3791"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9" w:hRule="atLeast"/>
          <w:jc w:val="center"/>
        </w:trPr>
        <w:tc>
          <w:tcPr>
            <w:tcW w:w="2677"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李旗庄镇</w:t>
            </w:r>
          </w:p>
        </w:tc>
        <w:tc>
          <w:tcPr>
            <w:tcW w:w="2278" w:type="dxa"/>
            <w:vAlign w:val="center"/>
          </w:tcPr>
          <w:p>
            <w:pPr>
              <w:snapToGrid w:val="0"/>
              <w:spacing w:line="300" w:lineRule="exact"/>
              <w:ind w:firstLine="0" w:firstLineChars="0"/>
              <w:jc w:val="center"/>
              <w:rPr>
                <w:rFonts w:eastAsia="仿宋_GB2312" w:cs="Times New Roman"/>
                <w:sz w:val="21"/>
                <w:szCs w:val="21"/>
              </w:rPr>
            </w:pPr>
            <w:r>
              <w:rPr>
                <w:rFonts w:eastAsia="仿宋_GB2312" w:cs="Times New Roman"/>
                <w:sz w:val="21"/>
                <w:szCs w:val="21"/>
              </w:rPr>
              <w:t>21274</w:t>
            </w:r>
          </w:p>
        </w:tc>
        <w:tc>
          <w:tcPr>
            <w:tcW w:w="3791"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9" w:hRule="atLeast"/>
          <w:jc w:val="center"/>
        </w:trPr>
        <w:tc>
          <w:tcPr>
            <w:tcW w:w="2677"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齐心庄镇</w:t>
            </w:r>
          </w:p>
        </w:tc>
        <w:tc>
          <w:tcPr>
            <w:tcW w:w="2278" w:type="dxa"/>
            <w:vAlign w:val="center"/>
          </w:tcPr>
          <w:p>
            <w:pPr>
              <w:snapToGrid w:val="0"/>
              <w:spacing w:line="300" w:lineRule="exact"/>
              <w:ind w:firstLine="0" w:firstLineChars="0"/>
              <w:jc w:val="center"/>
              <w:rPr>
                <w:rFonts w:eastAsia="仿宋_GB2312" w:cs="Times New Roman"/>
                <w:sz w:val="21"/>
                <w:szCs w:val="21"/>
              </w:rPr>
            </w:pPr>
            <w:r>
              <w:rPr>
                <w:rFonts w:eastAsia="仿宋_GB2312" w:cs="Times New Roman"/>
                <w:sz w:val="21"/>
                <w:szCs w:val="21"/>
              </w:rPr>
              <w:t>20850</w:t>
            </w:r>
          </w:p>
        </w:tc>
        <w:tc>
          <w:tcPr>
            <w:tcW w:w="3791"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1" w:hRule="atLeast"/>
          <w:jc w:val="center"/>
        </w:trPr>
        <w:tc>
          <w:tcPr>
            <w:tcW w:w="2677" w:type="dxa"/>
            <w:vAlign w:val="center"/>
          </w:tcPr>
          <w:p>
            <w:pPr>
              <w:snapToGrid w:val="0"/>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合计</w:t>
            </w:r>
          </w:p>
        </w:tc>
        <w:tc>
          <w:tcPr>
            <w:tcW w:w="2278" w:type="dxa"/>
            <w:vAlign w:val="center"/>
          </w:tcPr>
          <w:p>
            <w:pPr>
              <w:pStyle w:val="16"/>
              <w:autoSpaceDN w:val="0"/>
              <w:snapToGrid w:val="0"/>
              <w:spacing w:line="300" w:lineRule="exact"/>
              <w:ind w:right="0" w:rightChars="0"/>
              <w:rPr>
                <w:rFonts w:ascii="Times New Roman" w:hAnsi="Times New Roman" w:eastAsia="仿宋_GB2312"/>
                <w:sz w:val="21"/>
                <w:szCs w:val="21"/>
              </w:rPr>
            </w:pPr>
            <w:r>
              <w:rPr>
                <w:rFonts w:ascii="Times New Roman" w:hAnsi="Times New Roman" w:eastAsia="仿宋_GB2312"/>
                <w:sz w:val="21"/>
                <w:szCs w:val="21"/>
              </w:rPr>
              <w:t>199859</w:t>
            </w:r>
          </w:p>
        </w:tc>
        <w:tc>
          <w:tcPr>
            <w:tcW w:w="3791" w:type="dxa"/>
            <w:tcBorders>
              <w:top w:val="single" w:color="auto" w:sz="4" w:space="0"/>
              <w:left w:val="nil"/>
              <w:bottom w:val="single" w:color="auto" w:sz="4" w:space="0"/>
              <w:right w:val="single" w:color="auto" w:sz="4" w:space="0"/>
            </w:tcBorders>
            <w:vAlign w:val="center"/>
          </w:tcPr>
          <w:p>
            <w:pPr>
              <w:spacing w:line="300" w:lineRule="exact"/>
              <w:ind w:firstLine="0" w:firstLineChars="0"/>
              <w:jc w:val="center"/>
              <w:rPr>
                <w:rFonts w:eastAsia="仿宋_GB2312" w:cs="Times New Roman"/>
                <w:color w:val="000000"/>
                <w:sz w:val="21"/>
                <w:szCs w:val="21"/>
              </w:rPr>
            </w:pPr>
            <w:r>
              <w:rPr>
                <w:rFonts w:eastAsia="仿宋_GB2312" w:cs="Times New Roman"/>
                <w:color w:val="000000"/>
                <w:sz w:val="21"/>
                <w:szCs w:val="21"/>
              </w:rPr>
              <w:t>1.73</w:t>
            </w:r>
          </w:p>
        </w:tc>
      </w:tr>
    </w:tbl>
    <w:p>
      <w:pPr>
        <w:pStyle w:val="4"/>
        <w:adjustRightInd w:val="0"/>
        <w:snapToGrid w:val="0"/>
        <w:ind w:firstLine="643"/>
        <w:rPr>
          <w:color w:val="FF0000"/>
        </w:rPr>
      </w:pPr>
      <w:bookmarkStart w:id="51" w:name="_Toc23788310"/>
      <w:bookmarkStart w:id="52" w:name="_Toc467753416"/>
      <w:r>
        <w:t>4.1.3畜禽养殖污染</w:t>
      </w:r>
      <w:bookmarkEnd w:id="51"/>
      <w:bookmarkEnd w:id="52"/>
    </w:p>
    <w:p>
      <w:pPr>
        <w:pStyle w:val="14"/>
        <w:autoSpaceDN w:val="0"/>
        <w:adjustRightInd w:val="0"/>
        <w:snapToGrid w:val="0"/>
        <w:spacing w:line="584" w:lineRule="exact"/>
        <w:ind w:firstLine="640"/>
        <w:rPr>
          <w:rFonts w:ascii="Times New Roman" w:hAnsi="Times New Roman" w:eastAsia="仿宋_GB2312"/>
          <w:sz w:val="32"/>
          <w:szCs w:val="32"/>
        </w:rPr>
      </w:pPr>
      <w:r>
        <w:rPr>
          <w:rFonts w:ascii="Times New Roman" w:hAnsi="Times New Roman" w:eastAsia="仿宋_GB2312"/>
          <w:sz w:val="32"/>
          <w:szCs w:val="32"/>
        </w:rPr>
        <w:t>根据2017年环境统计数据，三河市共有规模化畜禽养殖场（小区）3家。目前，</w:t>
      </w:r>
      <w:r>
        <w:rPr>
          <w:rFonts w:ascii="Times New Roman" w:hAnsi="Times New Roman" w:eastAsia="仿宋"/>
          <w:sz w:val="32"/>
          <w:szCs w:val="32"/>
        </w:rPr>
        <w:t>泃</w:t>
      </w:r>
      <w:r>
        <w:rPr>
          <w:rFonts w:ascii="Times New Roman" w:hAnsi="Times New Roman" w:eastAsia="仿宋_GB2312"/>
          <w:sz w:val="32"/>
          <w:szCs w:val="32"/>
        </w:rPr>
        <w:t>河沿岸的畜禽养殖场生产中多采用干粪清除或干湿分离方式处理粪污，产生的粪污和病死动物经无害化处理后进行了有效利用，不再向</w:t>
      </w:r>
      <w:r>
        <w:rPr>
          <w:rFonts w:ascii="Times New Roman" w:hAnsi="Times New Roman" w:eastAsia="仿宋"/>
          <w:sz w:val="32"/>
          <w:szCs w:val="32"/>
        </w:rPr>
        <w:t>泃</w:t>
      </w:r>
      <w:r>
        <w:rPr>
          <w:rFonts w:ascii="Times New Roman" w:hAnsi="Times New Roman" w:eastAsia="仿宋_GB2312"/>
          <w:sz w:val="32"/>
          <w:szCs w:val="32"/>
        </w:rPr>
        <w:t>河进行直排。</w:t>
      </w:r>
    </w:p>
    <w:p>
      <w:pPr>
        <w:pStyle w:val="4"/>
        <w:adjustRightInd w:val="0"/>
        <w:snapToGrid w:val="0"/>
        <w:ind w:firstLine="643"/>
      </w:pPr>
      <w:bookmarkStart w:id="53" w:name="_Toc23788311"/>
      <w:bookmarkStart w:id="54" w:name="_Toc467753417"/>
      <w:r>
        <w:t>4.1.4生活垃圾污染</w:t>
      </w:r>
      <w:bookmarkEnd w:id="53"/>
      <w:bookmarkEnd w:id="54"/>
    </w:p>
    <w:p>
      <w:pPr>
        <w:pStyle w:val="14"/>
        <w:autoSpaceDN w:val="0"/>
        <w:adjustRightInd w:val="0"/>
        <w:snapToGrid w:val="0"/>
        <w:spacing w:line="584" w:lineRule="exact"/>
        <w:ind w:firstLine="640"/>
        <w:rPr>
          <w:rFonts w:ascii="Times New Roman" w:hAnsi="Times New Roman" w:eastAsia="仿宋_GB2312"/>
          <w:sz w:val="32"/>
          <w:szCs w:val="32"/>
        </w:rPr>
      </w:pPr>
      <w:r>
        <w:rPr>
          <w:rFonts w:ascii="Times New Roman" w:hAnsi="Times New Roman" w:eastAsia="仿宋_GB2312"/>
          <w:sz w:val="32"/>
          <w:szCs w:val="32"/>
        </w:rPr>
        <w:t>目前三河市建有生活垃圾卫生填埋场一座，填埋库区库容为140万吨，有效库容为122万吨，日处理生活垃圾150吨。垃圾中转站三座，采用村收集、镇转运、市处理的模式。经过实地调研，</w:t>
      </w:r>
      <w:r>
        <w:rPr>
          <w:rFonts w:ascii="Times New Roman" w:hAnsi="Times New Roman" w:eastAsia="仿宋"/>
          <w:sz w:val="32"/>
          <w:szCs w:val="32"/>
        </w:rPr>
        <w:t>泃</w:t>
      </w:r>
      <w:r>
        <w:rPr>
          <w:rFonts w:ascii="Times New Roman" w:hAnsi="Times New Roman" w:eastAsia="仿宋_GB2312"/>
          <w:sz w:val="32"/>
          <w:szCs w:val="32"/>
        </w:rPr>
        <w:t>河沿岸仍有垃圾随意堆放，甚至直接入河的现象，严重影响了</w:t>
      </w:r>
      <w:r>
        <w:rPr>
          <w:rFonts w:ascii="Times New Roman" w:hAnsi="Times New Roman" w:eastAsia="仿宋"/>
          <w:sz w:val="32"/>
          <w:szCs w:val="32"/>
        </w:rPr>
        <w:t>泃</w:t>
      </w:r>
      <w:r>
        <w:rPr>
          <w:rFonts w:ascii="Times New Roman" w:hAnsi="Times New Roman" w:eastAsia="仿宋_GB2312"/>
          <w:sz w:val="32"/>
          <w:szCs w:val="32"/>
        </w:rPr>
        <w:t>河水质。</w:t>
      </w:r>
    </w:p>
    <w:p>
      <w:pPr>
        <w:pStyle w:val="3"/>
        <w:adjustRightInd w:val="0"/>
        <w:snapToGrid w:val="0"/>
        <w:ind w:firstLine="643"/>
        <w:rPr>
          <w:rFonts w:eastAsia="楷体_GB2312"/>
        </w:rPr>
      </w:pPr>
      <w:bookmarkStart w:id="55" w:name="_Toc467753418"/>
      <w:bookmarkStart w:id="56" w:name="_Toc23788312"/>
      <w:r>
        <w:rPr>
          <w:rFonts w:eastAsia="楷体_GB2312"/>
        </w:rPr>
        <w:t>4.2水环境治理现状</w:t>
      </w:r>
      <w:bookmarkEnd w:id="55"/>
      <w:bookmarkEnd w:id="56"/>
    </w:p>
    <w:p>
      <w:pPr>
        <w:pStyle w:val="4"/>
        <w:adjustRightInd w:val="0"/>
        <w:snapToGrid w:val="0"/>
        <w:ind w:firstLine="643"/>
      </w:pPr>
      <w:bookmarkStart w:id="57" w:name="_Toc467753419"/>
      <w:bookmarkStart w:id="58" w:name="_Toc23788313"/>
      <w:r>
        <w:t>4.2.1点源治理现状</w:t>
      </w:r>
      <w:bookmarkEnd w:id="57"/>
      <w:bookmarkEnd w:id="58"/>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
          <w:sz w:val="32"/>
          <w:szCs w:val="32"/>
        </w:rPr>
        <w:t>泃</w:t>
      </w:r>
      <w:r>
        <w:rPr>
          <w:rFonts w:ascii="Times New Roman" w:hAnsi="Times New Roman" w:eastAsia="仿宋_GB2312"/>
          <w:sz w:val="32"/>
          <w:szCs w:val="32"/>
        </w:rPr>
        <w:t>河流域工业企业都配套有相应的污水处理设施，工业废水均能做到达标排放。</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三河市城区内建有三座污水处理厂，承担着城镇生活污水的处理任务。北城污水处理厂始建于2005年，主要负责处理三河市北城区内的生活污水，设计水量5000吨/日，主工艺用预处理+生化处理+消毒工艺，原设计出水指标执行《城镇污水处理厂污染物排放标准》（GB18918</w:t>
      </w:r>
      <w:r>
        <w:rPr>
          <w:rFonts w:hint="eastAsia" w:ascii="Times New Roman" w:hAnsi="Times New Roman" w:eastAsia="仿宋_GB2312"/>
          <w:sz w:val="32"/>
          <w:szCs w:val="32"/>
        </w:rPr>
        <w:t>—</w:t>
      </w:r>
      <w:r>
        <w:rPr>
          <w:rFonts w:ascii="Times New Roman" w:hAnsi="Times New Roman" w:eastAsia="仿宋_GB2312"/>
          <w:sz w:val="32"/>
          <w:szCs w:val="32"/>
        </w:rPr>
        <w:t>2002）中的二级标准，2011年污水厂进行提标改造，出水水质要求执行《城镇污水处理厂污染物排放标准》（GB18918</w:t>
      </w:r>
      <w:r>
        <w:rPr>
          <w:rFonts w:hint="eastAsia" w:ascii="Times New Roman" w:hAnsi="Times New Roman" w:eastAsia="仿宋_GB2312"/>
          <w:sz w:val="32"/>
          <w:szCs w:val="32"/>
        </w:rPr>
        <w:t>—</w:t>
      </w:r>
      <w:r>
        <w:rPr>
          <w:rFonts w:ascii="Times New Roman" w:hAnsi="Times New Roman" w:eastAsia="仿宋_GB2312"/>
          <w:sz w:val="32"/>
          <w:szCs w:val="32"/>
        </w:rPr>
        <w:t>2002）中的一级A标准。南城污水处理厂始建于2005年，主要负责处理三河市南城区内生活污水，设计处理水量10000吨/日，主工艺同北城污水厂一样用预处理+生化处理+消毒工艺，原设计出水指标执行《城镇污水处理厂污染物排放标准》（GB18918</w:t>
      </w:r>
      <w:r>
        <w:rPr>
          <w:rFonts w:hint="eastAsia" w:ascii="Times New Roman" w:hAnsi="Times New Roman" w:eastAsia="仿宋_GB2312"/>
          <w:sz w:val="32"/>
          <w:szCs w:val="32"/>
        </w:rPr>
        <w:t>—</w:t>
      </w:r>
      <w:r>
        <w:rPr>
          <w:rFonts w:ascii="Times New Roman" w:hAnsi="Times New Roman" w:eastAsia="仿宋_GB2312"/>
          <w:sz w:val="32"/>
          <w:szCs w:val="32"/>
        </w:rPr>
        <w:t>2002）中的二级标准，2011年污水厂进行提标改造，出水水质要求执行《城镇污水处理厂污染物排放标准》（GB18918</w:t>
      </w:r>
      <w:r>
        <w:rPr>
          <w:rFonts w:hint="eastAsia" w:ascii="Times New Roman" w:hAnsi="Times New Roman" w:eastAsia="仿宋_GB2312"/>
          <w:sz w:val="32"/>
          <w:szCs w:val="32"/>
        </w:rPr>
        <w:t>—</w:t>
      </w:r>
      <w:r>
        <w:rPr>
          <w:rFonts w:ascii="Times New Roman" w:hAnsi="Times New Roman" w:eastAsia="仿宋_GB2312"/>
          <w:sz w:val="32"/>
          <w:szCs w:val="32"/>
        </w:rPr>
        <w:t>2002）中的一级A标准。2018年对南城和北城两座污水处理厂格栅、曝气系统、污泥回流系统、沉淀池、实验室等设施进行改造，保证出水稳定达到一级A标准。</w:t>
      </w:r>
    </w:p>
    <w:p>
      <w:pPr>
        <w:autoSpaceDN w:val="0"/>
        <w:adjustRightInd w:val="0"/>
        <w:snapToGrid w:val="0"/>
        <w:spacing w:line="590" w:lineRule="exact"/>
        <w:ind w:firstLine="624"/>
        <w:rPr>
          <w:rFonts w:eastAsia="仿宋_GB2312" w:cs="Times New Roman"/>
          <w:color w:val="000000"/>
          <w:sz w:val="32"/>
          <w:szCs w:val="32"/>
        </w:rPr>
      </w:pPr>
      <w:r>
        <w:rPr>
          <w:rFonts w:eastAsia="仿宋_GB2312" w:cs="Times New Roman"/>
          <w:color w:val="000000"/>
          <w:spacing w:val="-4"/>
          <w:sz w:val="32"/>
          <w:szCs w:val="32"/>
        </w:rPr>
        <w:t>2018年建成三河市城区5万吨/日污水处理厂，污水处理厂采用“预处理+FBC改型A</w:t>
      </w:r>
      <w:r>
        <w:rPr>
          <w:rFonts w:eastAsia="仿宋_GB2312" w:cs="Times New Roman"/>
          <w:color w:val="000000"/>
          <w:spacing w:val="-4"/>
          <w:sz w:val="32"/>
          <w:szCs w:val="32"/>
          <w:vertAlign w:val="superscript"/>
        </w:rPr>
        <w:t>2</w:t>
      </w:r>
      <w:r>
        <w:rPr>
          <w:rFonts w:eastAsia="仿宋_GB2312" w:cs="Times New Roman"/>
          <w:color w:val="000000"/>
          <w:spacing w:val="-4"/>
          <w:sz w:val="32"/>
          <w:szCs w:val="32"/>
        </w:rPr>
        <w:t>/O+MBR+紫外消毒”处理工艺，处理后水质达到北京市《城镇污水处理厂污染物排放标准》（DB11/890</w:t>
      </w:r>
      <w:r>
        <w:rPr>
          <w:rFonts w:hint="eastAsia" w:eastAsia="仿宋_GB2312" w:cs="Times New Roman"/>
          <w:color w:val="000000"/>
          <w:spacing w:val="-4"/>
          <w:sz w:val="32"/>
          <w:szCs w:val="32"/>
        </w:rPr>
        <w:t>—</w:t>
      </w:r>
      <w:r>
        <w:rPr>
          <w:rFonts w:eastAsia="仿宋_GB2312" w:cs="Times New Roman"/>
          <w:color w:val="000000"/>
          <w:spacing w:val="-4"/>
          <w:sz w:val="32"/>
          <w:szCs w:val="32"/>
        </w:rPr>
        <w:t>2012）B标准。2018年建成的三河经济开发区4万吨</w:t>
      </w:r>
      <w:r>
        <w:rPr>
          <w:rFonts w:hint="eastAsia" w:eastAsia="仿宋_GB2312" w:cs="Times New Roman"/>
          <w:color w:val="000000"/>
          <w:spacing w:val="-4"/>
          <w:sz w:val="32"/>
          <w:szCs w:val="32"/>
        </w:rPr>
        <w:t>/日</w:t>
      </w:r>
      <w:r>
        <w:rPr>
          <w:rFonts w:eastAsia="仿宋_GB2312" w:cs="Times New Roman"/>
          <w:color w:val="000000"/>
          <w:spacing w:val="-4"/>
          <w:sz w:val="32"/>
          <w:szCs w:val="32"/>
        </w:rPr>
        <w:t>污水处理厂，污水处理厂采用</w:t>
      </w:r>
      <w:r>
        <w:rPr>
          <w:rFonts w:hint="eastAsia" w:eastAsia="仿宋_GB2312" w:cs="Times New Roman"/>
          <w:color w:val="000000"/>
          <w:spacing w:val="-4"/>
          <w:sz w:val="32"/>
          <w:szCs w:val="32"/>
        </w:rPr>
        <w:t>“</w:t>
      </w:r>
      <w:r>
        <w:rPr>
          <w:rFonts w:eastAsia="仿宋_GB2312" w:cs="Times New Roman"/>
          <w:color w:val="000000"/>
          <w:spacing w:val="-4"/>
          <w:sz w:val="32"/>
          <w:szCs w:val="32"/>
        </w:rPr>
        <w:t>预处理+FBC改型A</w:t>
      </w:r>
      <w:r>
        <w:rPr>
          <w:rFonts w:eastAsia="仿宋_GB2312" w:cs="Times New Roman"/>
          <w:color w:val="000000"/>
          <w:spacing w:val="-4"/>
          <w:sz w:val="32"/>
          <w:szCs w:val="32"/>
          <w:vertAlign w:val="superscript"/>
        </w:rPr>
        <w:t>2</w:t>
      </w:r>
      <w:r>
        <w:rPr>
          <w:rFonts w:eastAsia="仿宋_GB2312" w:cs="Times New Roman"/>
          <w:color w:val="000000"/>
          <w:spacing w:val="-4"/>
          <w:sz w:val="32"/>
          <w:szCs w:val="32"/>
        </w:rPr>
        <w:t>/O+MBR+紫外消毒</w:t>
      </w:r>
      <w:r>
        <w:rPr>
          <w:rFonts w:hint="eastAsia" w:eastAsia="仿宋_GB2312" w:cs="Times New Roman"/>
          <w:color w:val="000000"/>
          <w:spacing w:val="-4"/>
          <w:sz w:val="32"/>
          <w:szCs w:val="32"/>
        </w:rPr>
        <w:t>”</w:t>
      </w:r>
      <w:r>
        <w:rPr>
          <w:rFonts w:eastAsia="仿宋_GB2312" w:cs="Times New Roman"/>
          <w:color w:val="000000"/>
          <w:spacing w:val="-4"/>
          <w:sz w:val="32"/>
          <w:szCs w:val="32"/>
        </w:rPr>
        <w:t>处理工艺，污水处理排放标准达到北京市《城镇污水处理厂污染物排放标准》（DB11/890</w:t>
      </w:r>
      <w:r>
        <w:rPr>
          <w:rFonts w:hint="eastAsia" w:eastAsia="仿宋_GB2312" w:cs="Times New Roman"/>
          <w:color w:val="000000"/>
          <w:spacing w:val="-4"/>
          <w:sz w:val="32"/>
          <w:szCs w:val="32"/>
        </w:rPr>
        <w:t>—</w:t>
      </w:r>
      <w:r>
        <w:rPr>
          <w:rFonts w:eastAsia="仿宋_GB2312" w:cs="Times New Roman"/>
          <w:color w:val="000000"/>
          <w:spacing w:val="-4"/>
          <w:sz w:val="32"/>
          <w:szCs w:val="32"/>
        </w:rPr>
        <w:t>2012）B标准</w:t>
      </w:r>
      <w:r>
        <w:rPr>
          <w:rFonts w:eastAsia="仿宋_GB2312" w:cs="Times New Roman"/>
          <w:color w:val="000000"/>
          <w:sz w:val="32"/>
          <w:szCs w:val="32"/>
        </w:rPr>
        <w:t>。</w:t>
      </w:r>
    </w:p>
    <w:p>
      <w:pPr>
        <w:autoSpaceDN w:val="0"/>
        <w:adjustRightInd w:val="0"/>
        <w:snapToGrid w:val="0"/>
        <w:spacing w:line="590" w:lineRule="exact"/>
        <w:ind w:firstLine="616"/>
        <w:rPr>
          <w:rFonts w:eastAsia="仿宋_GB2312" w:cs="Times New Roman"/>
          <w:color w:val="000000"/>
          <w:spacing w:val="-6"/>
          <w:sz w:val="32"/>
          <w:szCs w:val="32"/>
        </w:rPr>
      </w:pPr>
      <w:r>
        <w:rPr>
          <w:rFonts w:eastAsia="仿宋_GB2312" w:cs="Times New Roman"/>
          <w:color w:val="000000"/>
          <w:spacing w:val="-6"/>
          <w:sz w:val="32"/>
          <w:szCs w:val="32"/>
        </w:rPr>
        <w:t>目前三河市城镇污水处理厂基本能满足城镇生活污水的处理。</w:t>
      </w:r>
    </w:p>
    <w:p>
      <w:pPr>
        <w:pStyle w:val="4"/>
        <w:spacing w:line="590" w:lineRule="exact"/>
        <w:ind w:firstLine="643"/>
      </w:pPr>
      <w:bookmarkStart w:id="59" w:name="_Toc467753421"/>
      <w:bookmarkStart w:id="60" w:name="_Toc23788314"/>
      <w:r>
        <w:t>4.2.2农业源治理现状</w:t>
      </w:r>
      <w:bookmarkEnd w:id="59"/>
      <w:bookmarkEnd w:id="60"/>
    </w:p>
    <w:p>
      <w:pPr>
        <w:autoSpaceDN w:val="0"/>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目前三河市共有规模养殖场（户）3户，燕郊、高楼、皇庄三个镇有规模养殖场各1个，主要为奶牛、肉牛养殖，生产中多采用干粪清除或干湿分离方式处理粪污，有的大型猪场、奶牛场还建有沼气发电设施设备、固液分离设施设备，保证粪污综合有效利用，产生的粪污和病死动物经无害化处理后有效利用，对</w:t>
      </w:r>
      <w:r>
        <w:rPr>
          <w:rFonts w:eastAsia="仿宋" w:cs="Times New Roman"/>
          <w:color w:val="000000"/>
          <w:sz w:val="32"/>
          <w:szCs w:val="32"/>
        </w:rPr>
        <w:t>泃</w:t>
      </w:r>
      <w:r>
        <w:rPr>
          <w:rFonts w:eastAsia="仿宋_GB2312" w:cs="Times New Roman"/>
          <w:color w:val="000000"/>
          <w:sz w:val="32"/>
          <w:szCs w:val="32"/>
        </w:rPr>
        <w:t>河造成的影响很小。</w:t>
      </w:r>
    </w:p>
    <w:p>
      <w:pPr>
        <w:pStyle w:val="4"/>
        <w:spacing w:line="590" w:lineRule="exact"/>
        <w:ind w:firstLine="643"/>
      </w:pPr>
      <w:bookmarkStart w:id="61" w:name="_Toc467753422"/>
      <w:bookmarkStart w:id="62" w:name="_Toc23788315"/>
      <w:r>
        <w:t>4.2.3垃圾治理现状</w:t>
      </w:r>
      <w:bookmarkEnd w:id="61"/>
      <w:bookmarkEnd w:id="62"/>
    </w:p>
    <w:p>
      <w:pPr>
        <w:autoSpaceDN w:val="0"/>
        <w:adjustRightInd w:val="0"/>
        <w:snapToGrid w:val="0"/>
        <w:spacing w:line="590" w:lineRule="exact"/>
        <w:ind w:firstLine="480" w:firstLineChars="150"/>
        <w:rPr>
          <w:rFonts w:eastAsia="仿宋_GB2312" w:cs="Times New Roman"/>
          <w:sz w:val="32"/>
          <w:szCs w:val="32"/>
        </w:rPr>
      </w:pPr>
      <w:r>
        <w:rPr>
          <w:rFonts w:eastAsia="仿宋_GB2312" w:cs="Times New Roman"/>
          <w:sz w:val="32"/>
          <w:szCs w:val="32"/>
        </w:rPr>
        <w:t>（1）垃圾处理基础设施建设</w:t>
      </w:r>
    </w:p>
    <w:p>
      <w:pPr>
        <w:autoSpaceDN w:val="0"/>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目前，三河市正式投入使用的垃圾中转站三座，其中新集镇一座，黄土庄镇一座，杨庄镇一座，段甲岭镇在建设中。农村垃圾经过村收集，由镇环卫公司转运到中转站，由中转站再转运到位于李旗庄的垃圾填埋场进行最后的填埋处理。</w:t>
      </w:r>
    </w:p>
    <w:p>
      <w:pPr>
        <w:autoSpaceDN w:val="0"/>
        <w:adjustRightInd w:val="0"/>
        <w:snapToGrid w:val="0"/>
        <w:spacing w:line="590" w:lineRule="exact"/>
        <w:ind w:firstLine="648"/>
        <w:rPr>
          <w:rFonts w:eastAsia="仿宋_GB2312" w:cs="Times New Roman"/>
          <w:color w:val="000000"/>
          <w:spacing w:val="2"/>
          <w:sz w:val="32"/>
          <w:szCs w:val="32"/>
        </w:rPr>
      </w:pPr>
      <w:r>
        <w:rPr>
          <w:rFonts w:eastAsia="仿宋_GB2312" w:cs="Times New Roman"/>
          <w:color w:val="000000"/>
          <w:spacing w:val="2"/>
          <w:sz w:val="32"/>
          <w:szCs w:val="32"/>
        </w:rPr>
        <w:t>三河市生活垃圾卫生填埋场位于市区西7公里处，坐落于102国道和京秦铁路之间，该工程于2006年9月经原省环保厅环评批复，2007年4月被省发改委核准立项，2008年3月正式开工建设，2009年10月土建工程和防渗工程竣工，填埋库区投入使用。由于渗沥液处理工程进行了二次优化设计，2010年10月竣工并投入使用。</w:t>
      </w:r>
    </w:p>
    <w:p>
      <w:pPr>
        <w:autoSpaceDN w:val="0"/>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三河市生活垃圾卫生填埋场分为填埋库区、管理区、污水处理区；建有传达室及地磅房、业务用房、深井泵房、雨水收集池、污水处理车间、雨水泵池、填埋库区等设施。该工程填埋库区库容为140万</w:t>
      </w:r>
      <w:r>
        <w:rPr>
          <w:rFonts w:eastAsia="仿宋_GB2312" w:cs="Times New Roman"/>
          <w:sz w:val="32"/>
          <w:szCs w:val="32"/>
        </w:rPr>
        <w:t>吨</w:t>
      </w:r>
      <w:r>
        <w:rPr>
          <w:rFonts w:eastAsia="仿宋_GB2312" w:cs="Times New Roman"/>
          <w:color w:val="000000"/>
          <w:sz w:val="32"/>
          <w:szCs w:val="32"/>
        </w:rPr>
        <w:t>，有效库容为122万</w:t>
      </w:r>
      <w:r>
        <w:rPr>
          <w:rFonts w:eastAsia="仿宋_GB2312" w:cs="Times New Roman"/>
          <w:sz w:val="32"/>
          <w:szCs w:val="32"/>
        </w:rPr>
        <w:t>吨</w:t>
      </w:r>
      <w:r>
        <w:rPr>
          <w:rFonts w:eastAsia="仿宋_GB2312" w:cs="Times New Roman"/>
          <w:color w:val="000000"/>
          <w:sz w:val="32"/>
          <w:szCs w:val="32"/>
        </w:rPr>
        <w:t>，建设规模为日处理生活垃圾150吨，设计使用年限为20年。项目总体投资为2898.17万元。</w:t>
      </w:r>
    </w:p>
    <w:p>
      <w:pPr>
        <w:autoSpaceDN w:val="0"/>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填埋库区分为两个作业区，四周围墙上建有2米高的防飞散网，沼气实行自动点火燃烧，库底防渗结构分为七层，第一层为30厘米厚的中粗砂，第二层为150克/平方米土工布，第三层为1米厚的压实粘土层，第四层为2毫米厚的HDPE膜，第五层为600克/平方米土工布，第六层为30厘米卵石层，第七层为150克/平方米土工布；边坡防渗结构分为三层，第一层为双层土工布包裹的HDPE土工格栅，第二层为2毫米厚的HDPE膜，第三层为600克/平方米土工布，最上面压防护土袋；渗沥液处理采用“厌氧+好氧＋物化”处理相结合的处理工艺，出水水质达到国家一级排放标准后直接排放。</w:t>
      </w:r>
    </w:p>
    <w:p>
      <w:pPr>
        <w:autoSpaceDN w:val="0"/>
        <w:adjustRightInd w:val="0"/>
        <w:snapToGrid w:val="0"/>
        <w:spacing w:line="590" w:lineRule="exact"/>
        <w:ind w:firstLine="480" w:firstLineChars="150"/>
        <w:rPr>
          <w:rFonts w:eastAsia="仿宋_GB2312" w:cs="Times New Roman"/>
          <w:sz w:val="32"/>
          <w:szCs w:val="32"/>
        </w:rPr>
      </w:pPr>
      <w:r>
        <w:rPr>
          <w:rFonts w:eastAsia="仿宋_GB2312" w:cs="Times New Roman"/>
          <w:sz w:val="32"/>
          <w:szCs w:val="32"/>
        </w:rPr>
        <w:t>（2）垃圾处理管理体制</w:t>
      </w:r>
    </w:p>
    <w:p>
      <w:pPr>
        <w:autoSpaceDN w:val="0"/>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自2012年以来，按照《三河市农村环境卫生管理暂行办法》的相关要求和“村收集、镇转运、市处理”的工作模式，三河市目前初步建立健全了常态化、市场化、规范化的运行机制。</w:t>
      </w:r>
    </w:p>
    <w:p>
      <w:pPr>
        <w:autoSpaceDN w:val="0"/>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目前三河市10个镇都已全部组建了环卫公司，并取得了相应资质，建立了管理制度，初步建立了市、镇、村“三位一体”三级联动环卫机制。目前各镇各村街配备垃圾车累计41辆，累计配备垃圾桶21080个。环卫局对清扫范围进行了复核，确定了全市各镇公共区域清扫总面积853万平方米，铁路和高速两侧沿线66公里。</w:t>
      </w:r>
    </w:p>
    <w:p>
      <w:pPr>
        <w:autoSpaceDN w:val="0"/>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公众参与方面，为了能够及时听到广大群众对农村垃圾治理工作的建议和意见，环卫局建立了三河市整洁城乡微信平台，局成员分包各镇，每周至少督导检查一次，利用微信平台发布检查照片。</w:t>
      </w:r>
    </w:p>
    <w:p>
      <w:pPr>
        <w:pStyle w:val="2"/>
        <w:spacing w:line="590" w:lineRule="exact"/>
        <w:ind w:firstLine="640"/>
      </w:pPr>
      <w:bookmarkStart w:id="63" w:name="_Toc23788316"/>
      <w:r>
        <w:t>五、原达标方案实施情况评估</w:t>
      </w:r>
      <w:bookmarkEnd w:id="63"/>
    </w:p>
    <w:p>
      <w:pPr>
        <w:pStyle w:val="3"/>
        <w:spacing w:line="590" w:lineRule="exact"/>
        <w:ind w:firstLine="643"/>
        <w:rPr>
          <w:rFonts w:eastAsia="楷体_GB2312"/>
        </w:rPr>
      </w:pPr>
      <w:bookmarkStart w:id="64" w:name="_Toc23788317"/>
      <w:r>
        <w:rPr>
          <w:rFonts w:eastAsia="楷体_GB2312"/>
        </w:rPr>
        <w:t>5.1总体情况</w:t>
      </w:r>
      <w:bookmarkEnd w:id="64"/>
    </w:p>
    <w:p>
      <w:pPr>
        <w:autoSpaceDN w:val="0"/>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《水污染防治行动计划》要求未达到水质目标的地区要制定达标方案，由于</w:t>
      </w:r>
      <w:r>
        <w:rPr>
          <w:rFonts w:eastAsia="仿宋" w:cs="Times New Roman"/>
          <w:color w:val="000000"/>
          <w:sz w:val="32"/>
          <w:szCs w:val="32"/>
        </w:rPr>
        <w:t>泃</w:t>
      </w:r>
      <w:r>
        <w:rPr>
          <w:rFonts w:eastAsia="仿宋_GB2312" w:cs="Times New Roman"/>
          <w:color w:val="000000"/>
          <w:sz w:val="32"/>
          <w:szCs w:val="32"/>
        </w:rPr>
        <w:t>河三河东大桥断面未达到国家考核目标，为了改善</w:t>
      </w:r>
      <w:r>
        <w:rPr>
          <w:rFonts w:eastAsia="仿宋" w:cs="Times New Roman"/>
          <w:color w:val="000000"/>
          <w:sz w:val="32"/>
          <w:szCs w:val="32"/>
        </w:rPr>
        <w:t>泃</w:t>
      </w:r>
      <w:r>
        <w:rPr>
          <w:rFonts w:eastAsia="仿宋_GB2312" w:cs="Times New Roman"/>
          <w:color w:val="000000"/>
          <w:sz w:val="32"/>
          <w:szCs w:val="32"/>
        </w:rPr>
        <w:t>河水质，廊坊市政府印发实施了《廊坊市</w:t>
      </w:r>
      <w:r>
        <w:rPr>
          <w:rFonts w:eastAsia="仿宋" w:cs="Times New Roman"/>
          <w:color w:val="000000"/>
          <w:sz w:val="32"/>
          <w:szCs w:val="32"/>
        </w:rPr>
        <w:t>泃</w:t>
      </w:r>
      <w:r>
        <w:rPr>
          <w:rFonts w:eastAsia="仿宋_GB2312" w:cs="Times New Roman"/>
          <w:color w:val="000000"/>
          <w:sz w:val="32"/>
          <w:szCs w:val="32"/>
        </w:rPr>
        <w:t>河水质达标方案》（以下简称“原达标方案”）。原达标方案以2015年为基准年，在三河东大桥断面为劣V类、超标指标为氨氮、总磷和化学需氧量的现状条件下，制定了以污染源治理为主，河道生态修复为辅的水质改善措施，通过工程措施的实施大幅削减入河负荷，以达到水质达标的目的。原达标方案共提出了19项重点治理工程，包含</w:t>
      </w:r>
      <w:r>
        <w:rPr>
          <w:rFonts w:eastAsia="仿宋" w:cs="Times New Roman"/>
          <w:color w:val="000000"/>
          <w:sz w:val="32"/>
          <w:szCs w:val="32"/>
        </w:rPr>
        <w:t>泃</w:t>
      </w:r>
      <w:r>
        <w:rPr>
          <w:rFonts w:eastAsia="仿宋_GB2312" w:cs="Times New Roman"/>
          <w:color w:val="000000"/>
          <w:sz w:val="32"/>
          <w:szCs w:val="32"/>
        </w:rPr>
        <w:t>河12项污染源治理工程、4项生态修复工程以及支流3项污染源治理工程。</w:t>
      </w:r>
    </w:p>
    <w:p>
      <w:pPr>
        <w:autoSpaceDN w:val="0"/>
        <w:adjustRightInd w:val="0"/>
        <w:snapToGrid w:val="0"/>
        <w:spacing w:line="592" w:lineRule="exact"/>
        <w:ind w:firstLine="640"/>
        <w:rPr>
          <w:rFonts w:eastAsia="仿宋_GB2312" w:cs="Times New Roman"/>
          <w:color w:val="000000"/>
          <w:sz w:val="32"/>
          <w:szCs w:val="32"/>
        </w:rPr>
      </w:pPr>
      <w:r>
        <w:rPr>
          <w:rFonts w:eastAsia="仿宋_GB2312" w:cs="Times New Roman"/>
          <w:color w:val="000000"/>
          <w:sz w:val="32"/>
          <w:szCs w:val="32"/>
        </w:rPr>
        <w:t>通过原达标方案的实施，三河东大桥断面水质改善明显，2018年水质达标率达到</w:t>
      </w:r>
      <w:r>
        <w:rPr>
          <w:rFonts w:eastAsia="仿宋_GB2312" w:cs="Times New Roman"/>
          <w:sz w:val="32"/>
          <w:szCs w:val="32"/>
        </w:rPr>
        <w:t>66.7%，</w:t>
      </w:r>
      <w:r>
        <w:rPr>
          <w:rFonts w:eastAsia="仿宋_GB2312" w:cs="Times New Roman"/>
          <w:color w:val="000000"/>
          <w:sz w:val="32"/>
          <w:szCs w:val="32"/>
        </w:rPr>
        <w:t>主要超标因子减少为氨氮和总磷，氨氮、总磷、化学需氧量浓度较2016年分别下降53.2%、57.4%、15.4%；主要污染源城镇生活污染和部分农村生活污染得到有效处理，COD和氨氮排放量大幅削减。</w:t>
      </w:r>
    </w:p>
    <w:p>
      <w:pPr>
        <w:autoSpaceDN w:val="0"/>
        <w:adjustRightInd w:val="0"/>
        <w:snapToGrid w:val="0"/>
        <w:spacing w:line="592" w:lineRule="exact"/>
        <w:ind w:firstLine="640"/>
        <w:rPr>
          <w:rFonts w:eastAsia="仿宋_GB2312" w:cs="Times New Roman"/>
          <w:color w:val="000000"/>
          <w:sz w:val="32"/>
          <w:szCs w:val="32"/>
        </w:rPr>
      </w:pPr>
      <w:r>
        <w:rPr>
          <w:rFonts w:eastAsia="仿宋_GB2312" w:cs="Times New Roman"/>
          <w:color w:val="000000"/>
          <w:sz w:val="32"/>
          <w:szCs w:val="32"/>
        </w:rPr>
        <w:t>通过原达标方案的实施，</w:t>
      </w:r>
      <w:r>
        <w:rPr>
          <w:rFonts w:eastAsia="仿宋" w:cs="Times New Roman"/>
          <w:color w:val="000000"/>
          <w:sz w:val="32"/>
          <w:szCs w:val="32"/>
        </w:rPr>
        <w:t>泃</w:t>
      </w:r>
      <w:r>
        <w:rPr>
          <w:rFonts w:eastAsia="仿宋_GB2312" w:cs="Times New Roman"/>
          <w:color w:val="000000"/>
          <w:sz w:val="32"/>
          <w:szCs w:val="32"/>
        </w:rPr>
        <w:t>河流域治污能力得到了很大的提升，三河市已完成了11项重点工程（含方案外4项工程和调整内容1项工程），12项工程未完成，由于现状等条件的改变，其中11项未完成的工程已不具备实施的必要性。</w:t>
      </w:r>
    </w:p>
    <w:p>
      <w:pPr>
        <w:autoSpaceDN w:val="0"/>
        <w:adjustRightInd w:val="0"/>
        <w:snapToGrid w:val="0"/>
        <w:spacing w:line="592" w:lineRule="exact"/>
        <w:ind w:firstLine="640"/>
        <w:rPr>
          <w:rFonts w:eastAsia="仿宋_GB2312" w:cs="Times New Roman"/>
          <w:color w:val="000000"/>
          <w:sz w:val="32"/>
          <w:szCs w:val="32"/>
        </w:rPr>
      </w:pPr>
      <w:r>
        <w:rPr>
          <w:rFonts w:eastAsia="仿宋_GB2312" w:cs="Times New Roman"/>
          <w:color w:val="000000"/>
          <w:sz w:val="32"/>
          <w:szCs w:val="32"/>
        </w:rPr>
        <w:t>通过原达标方案实施情况的评估和</w:t>
      </w:r>
      <w:r>
        <w:rPr>
          <w:rFonts w:eastAsia="仿宋" w:cs="Times New Roman"/>
          <w:color w:val="000000"/>
          <w:sz w:val="32"/>
          <w:szCs w:val="32"/>
        </w:rPr>
        <w:t>泃</w:t>
      </w:r>
      <w:r>
        <w:rPr>
          <w:rFonts w:eastAsia="仿宋_GB2312" w:cs="Times New Roman"/>
          <w:color w:val="000000"/>
          <w:sz w:val="32"/>
          <w:szCs w:val="32"/>
        </w:rPr>
        <w:t>河流域实际情况的分析，流域现状条件发生巨大变化，原有的部分水环境问题已基本得到解决，新的水环境问题成为当前的重点，水质改善的重点任务和方向发生转移。</w:t>
      </w:r>
    </w:p>
    <w:p>
      <w:pPr>
        <w:pStyle w:val="3"/>
        <w:spacing w:line="592" w:lineRule="exact"/>
        <w:ind w:firstLine="643"/>
        <w:rPr>
          <w:rFonts w:eastAsia="楷体_GB2312"/>
        </w:rPr>
      </w:pPr>
      <w:bookmarkStart w:id="65" w:name="_Toc23788318"/>
      <w:r>
        <w:rPr>
          <w:rFonts w:eastAsia="楷体_GB2312"/>
        </w:rPr>
        <w:t>5.2水质改善情况</w:t>
      </w:r>
      <w:bookmarkEnd w:id="65"/>
    </w:p>
    <w:p>
      <w:pPr>
        <w:pStyle w:val="4"/>
        <w:spacing w:line="592" w:lineRule="exact"/>
        <w:ind w:firstLine="643"/>
      </w:pPr>
      <w:bookmarkStart w:id="66" w:name="_Toc23788319"/>
      <w:r>
        <w:t>5.2.1原达标方案实施前水质状况</w:t>
      </w:r>
      <w:bookmarkEnd w:id="66"/>
    </w:p>
    <w:p>
      <w:pPr>
        <w:adjustRightInd w:val="0"/>
        <w:snapToGrid w:val="0"/>
        <w:spacing w:line="592" w:lineRule="exact"/>
        <w:ind w:firstLine="640"/>
        <w:rPr>
          <w:rFonts w:eastAsia="仿宋_GB2312" w:cs="Times New Roman"/>
          <w:sz w:val="32"/>
          <w:szCs w:val="32"/>
        </w:rPr>
      </w:pPr>
      <w:r>
        <w:rPr>
          <w:rFonts w:eastAsia="仿宋_GB2312" w:cs="Times New Roman"/>
          <w:sz w:val="32"/>
          <w:szCs w:val="32"/>
        </w:rPr>
        <w:t>根据国控断面水质监测结果，自2012年以来，到2015年，三河东大桥断面年平均污染物均存在超标现象，水质均为劣V类，主要超标</w:t>
      </w:r>
      <w:r>
        <w:rPr>
          <w:rFonts w:hint="eastAsia" w:eastAsia="仿宋_GB2312" w:cs="Times New Roman"/>
          <w:sz w:val="32"/>
          <w:szCs w:val="32"/>
        </w:rPr>
        <w:t>指标</w:t>
      </w:r>
      <w:r>
        <w:rPr>
          <w:rFonts w:eastAsia="仿宋_GB2312" w:cs="Times New Roman"/>
          <w:sz w:val="32"/>
          <w:szCs w:val="32"/>
        </w:rPr>
        <w:t>为氨氮、总磷和化学需氧量，氨氮年均最大超标倍数为2013年的3.03倍，总磷年均最大超标倍数</w:t>
      </w:r>
      <w:r>
        <w:rPr>
          <w:rFonts w:hint="eastAsia" w:eastAsia="仿宋_GB2312" w:cs="Times New Roman"/>
          <w:sz w:val="32"/>
          <w:szCs w:val="32"/>
        </w:rPr>
        <w:t>为</w:t>
      </w:r>
      <w:r>
        <w:rPr>
          <w:rFonts w:eastAsia="仿宋_GB2312" w:cs="Times New Roman"/>
          <w:sz w:val="32"/>
          <w:szCs w:val="32"/>
        </w:rPr>
        <w:t>2013年的3.44倍，化学需氧量年均最大超标倍数为2012年0.11倍。</w:t>
      </w:r>
    </w:p>
    <w:p>
      <w:pPr>
        <w:pStyle w:val="4"/>
        <w:spacing w:line="592" w:lineRule="exact"/>
        <w:ind w:firstLine="643"/>
      </w:pPr>
      <w:bookmarkStart w:id="67" w:name="_Toc23788320"/>
      <w:r>
        <w:t>5.2.2原达标方案实施后水质状况</w:t>
      </w:r>
      <w:bookmarkEnd w:id="67"/>
    </w:p>
    <w:p>
      <w:pPr>
        <w:adjustRightInd w:val="0"/>
        <w:snapToGrid w:val="0"/>
        <w:spacing w:line="592" w:lineRule="exact"/>
        <w:ind w:firstLine="640"/>
        <w:rPr>
          <w:rFonts w:eastAsia="仿宋_GB2312" w:cs="Times New Roman"/>
          <w:sz w:val="32"/>
          <w:szCs w:val="32"/>
        </w:rPr>
      </w:pPr>
      <w:r>
        <w:rPr>
          <w:rFonts w:hint="eastAsia" w:cs="Times New Roman"/>
          <w:sz w:val="32"/>
          <w:szCs w:val="32"/>
        </w:rPr>
        <w:t>（1）</w:t>
      </w:r>
      <w:r>
        <w:rPr>
          <w:rFonts w:eastAsia="仿宋_GB2312" w:cs="Times New Roman"/>
          <w:sz w:val="32"/>
          <w:szCs w:val="32"/>
        </w:rPr>
        <w:t>国家考核断面</w:t>
      </w:r>
      <w:r>
        <w:rPr>
          <w:rFonts w:hint="eastAsia" w:eastAsia="仿宋_GB2312" w:cs="Times New Roman"/>
          <w:sz w:val="32"/>
          <w:szCs w:val="32"/>
        </w:rPr>
        <w:t>三河</w:t>
      </w:r>
      <w:r>
        <w:rPr>
          <w:rFonts w:eastAsia="仿宋_GB2312" w:cs="Times New Roman"/>
          <w:sz w:val="32"/>
          <w:szCs w:val="32"/>
        </w:rPr>
        <w:t>东大桥断面水质形势变化</w:t>
      </w:r>
    </w:p>
    <w:p>
      <w:pPr>
        <w:adjustRightInd w:val="0"/>
        <w:snapToGrid w:val="0"/>
        <w:spacing w:line="592" w:lineRule="exact"/>
        <w:ind w:firstLine="640"/>
        <w:rPr>
          <w:rFonts w:eastAsia="仿宋_GB2312" w:cs="Times New Roman"/>
          <w:sz w:val="32"/>
          <w:szCs w:val="32"/>
        </w:rPr>
      </w:pPr>
      <w:r>
        <w:rPr>
          <w:rFonts w:hint="eastAsia" w:eastAsia="仿宋_GB2312" w:cs="Times New Roman"/>
          <w:sz w:val="32"/>
          <w:szCs w:val="32"/>
        </w:rPr>
        <w:t>三河</w:t>
      </w:r>
      <w:r>
        <w:rPr>
          <w:rFonts w:eastAsia="仿宋_GB2312" w:cs="Times New Roman"/>
          <w:sz w:val="32"/>
          <w:szCs w:val="32"/>
        </w:rPr>
        <w:t>东大桥断面位于三河市黄庄镇与天津市桑梓镇河道交界红旗闸，是</w:t>
      </w:r>
      <w:r>
        <w:rPr>
          <w:rFonts w:eastAsia="仿宋" w:cs="Times New Roman"/>
          <w:sz w:val="32"/>
          <w:szCs w:val="32"/>
        </w:rPr>
        <w:t>泃</w:t>
      </w:r>
      <w:r>
        <w:rPr>
          <w:rFonts w:eastAsia="仿宋_GB2312" w:cs="Times New Roman"/>
          <w:sz w:val="32"/>
          <w:szCs w:val="32"/>
        </w:rPr>
        <w:t>河廊坊与天津交界处的出境断面。本方案以2016年1月</w:t>
      </w:r>
      <w:r>
        <w:rPr>
          <w:rFonts w:hint="eastAsia" w:eastAsia="仿宋_GB2312" w:cs="Times New Roman"/>
          <w:sz w:val="32"/>
          <w:szCs w:val="32"/>
        </w:rPr>
        <w:t>—</w:t>
      </w:r>
      <w:r>
        <w:rPr>
          <w:rFonts w:eastAsia="仿宋_GB2312" w:cs="Times New Roman"/>
          <w:sz w:val="32"/>
          <w:szCs w:val="32"/>
        </w:rPr>
        <w:t>2019年8月共44个月的水质监测数据作为分析依据，其监测及评价结果详见表5</w:t>
      </w:r>
      <w:r>
        <w:rPr>
          <w:rFonts w:hint="eastAsia" w:eastAsia="仿宋_GB2312" w:cs="Times New Roman"/>
          <w:sz w:val="32"/>
          <w:szCs w:val="32"/>
        </w:rPr>
        <w:t>-</w:t>
      </w:r>
      <w:r>
        <w:rPr>
          <w:rFonts w:eastAsia="仿宋_GB2312" w:cs="Times New Roman"/>
          <w:sz w:val="32"/>
          <w:szCs w:val="32"/>
        </w:rPr>
        <w:t>1。</w:t>
      </w:r>
    </w:p>
    <w:p>
      <w:pPr>
        <w:spacing w:after="163" w:afterLines="50"/>
        <w:ind w:firstLine="0" w:firstLineChars="0"/>
        <w:jc w:val="center"/>
        <w:rPr>
          <w:rFonts w:eastAsia="黑体" w:cs="Times New Roman"/>
          <w:sz w:val="32"/>
          <w:szCs w:val="32"/>
        </w:rPr>
      </w:pPr>
      <w:r>
        <w:rPr>
          <w:rFonts w:eastAsia="黑体" w:cs="Times New Roman"/>
          <w:sz w:val="32"/>
          <w:szCs w:val="32"/>
        </w:rPr>
        <w:t>表5</w:t>
      </w:r>
      <w:r>
        <w:rPr>
          <w:rFonts w:hint="eastAsia" w:eastAsia="黑体" w:cs="Times New Roman"/>
          <w:sz w:val="32"/>
          <w:szCs w:val="32"/>
        </w:rPr>
        <w:t>-</w:t>
      </w:r>
      <w:r>
        <w:rPr>
          <w:rFonts w:eastAsia="黑体" w:cs="Times New Roman"/>
          <w:sz w:val="32"/>
          <w:szCs w:val="32"/>
        </w:rPr>
        <w:t>1</w:t>
      </w:r>
      <w:r>
        <w:rPr>
          <w:rFonts w:hint="eastAsia" w:eastAsia="黑体" w:cs="Times New Roman"/>
          <w:sz w:val="32"/>
          <w:szCs w:val="32"/>
        </w:rPr>
        <w:t xml:space="preserve">  </w:t>
      </w:r>
      <w:r>
        <w:rPr>
          <w:rFonts w:eastAsia="黑体" w:cs="Times New Roman"/>
          <w:sz w:val="32"/>
          <w:szCs w:val="32"/>
        </w:rPr>
        <w:t>2016</w:t>
      </w:r>
      <w:r>
        <w:rPr>
          <w:rFonts w:hint="eastAsia" w:eastAsia="黑体" w:cs="Times New Roman"/>
          <w:sz w:val="32"/>
          <w:szCs w:val="32"/>
        </w:rPr>
        <w:t>—</w:t>
      </w:r>
      <w:r>
        <w:rPr>
          <w:rFonts w:eastAsia="黑体" w:cs="Times New Roman"/>
          <w:sz w:val="32"/>
          <w:szCs w:val="32"/>
        </w:rPr>
        <w:t>2019年泃河东大桥断面水质监测结果一览表</w:t>
      </w:r>
    </w:p>
    <w:tbl>
      <w:tblPr>
        <w:tblStyle w:val="13"/>
        <w:tblW w:w="8783" w:type="dxa"/>
        <w:jc w:val="center"/>
        <w:tblInd w:w="-24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864"/>
        <w:gridCol w:w="600"/>
        <w:gridCol w:w="1115"/>
        <w:gridCol w:w="943"/>
        <w:gridCol w:w="887"/>
        <w:gridCol w:w="1001"/>
        <w:gridCol w:w="871"/>
        <w:gridCol w:w="25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93" w:hRule="atLeast"/>
          <w:tblHeader/>
          <w:jc w:val="center"/>
        </w:trPr>
        <w:tc>
          <w:tcPr>
            <w:tcW w:w="864" w:type="dxa"/>
            <w:vAlign w:val="center"/>
          </w:tcPr>
          <w:p>
            <w:pPr>
              <w:widowControl/>
              <w:spacing w:line="280" w:lineRule="exact"/>
              <w:ind w:firstLine="0" w:firstLineChars="0"/>
              <w:jc w:val="center"/>
              <w:rPr>
                <w:rFonts w:eastAsia="仿宋_GB2312" w:cs="Times New Roman"/>
                <w:b/>
                <w:kern w:val="0"/>
                <w:sz w:val="21"/>
                <w:szCs w:val="21"/>
              </w:rPr>
            </w:pPr>
            <w:r>
              <w:rPr>
                <w:rFonts w:eastAsia="仿宋_GB2312" w:cs="Times New Roman"/>
                <w:b/>
                <w:kern w:val="0"/>
                <w:sz w:val="21"/>
                <w:szCs w:val="21"/>
              </w:rPr>
              <w:t>年</w:t>
            </w:r>
          </w:p>
        </w:tc>
        <w:tc>
          <w:tcPr>
            <w:tcW w:w="600" w:type="dxa"/>
            <w:vAlign w:val="center"/>
          </w:tcPr>
          <w:p>
            <w:pPr>
              <w:widowControl/>
              <w:spacing w:line="280" w:lineRule="exact"/>
              <w:ind w:firstLine="0" w:firstLineChars="0"/>
              <w:jc w:val="center"/>
              <w:rPr>
                <w:rFonts w:eastAsia="仿宋_GB2312" w:cs="Times New Roman"/>
                <w:b/>
                <w:kern w:val="0"/>
                <w:sz w:val="21"/>
                <w:szCs w:val="21"/>
              </w:rPr>
            </w:pPr>
            <w:r>
              <w:rPr>
                <w:rFonts w:eastAsia="仿宋_GB2312" w:cs="Times New Roman"/>
                <w:b/>
                <w:kern w:val="0"/>
                <w:sz w:val="21"/>
                <w:szCs w:val="21"/>
              </w:rPr>
              <w:t>月</w:t>
            </w:r>
          </w:p>
        </w:tc>
        <w:tc>
          <w:tcPr>
            <w:tcW w:w="1115" w:type="dxa"/>
            <w:vAlign w:val="center"/>
          </w:tcPr>
          <w:p>
            <w:pPr>
              <w:widowControl/>
              <w:spacing w:line="280" w:lineRule="exact"/>
              <w:ind w:firstLine="0" w:firstLineChars="0"/>
              <w:jc w:val="center"/>
              <w:rPr>
                <w:rFonts w:eastAsia="仿宋_GB2312" w:cs="Times New Roman"/>
                <w:b/>
                <w:kern w:val="0"/>
                <w:sz w:val="21"/>
                <w:szCs w:val="21"/>
              </w:rPr>
            </w:pPr>
            <w:r>
              <w:rPr>
                <w:rFonts w:eastAsia="仿宋_GB2312" w:cs="Times New Roman"/>
                <w:b/>
                <w:kern w:val="0"/>
                <w:sz w:val="21"/>
                <w:szCs w:val="21"/>
              </w:rPr>
              <w:t>CODmn</w:t>
            </w:r>
          </w:p>
          <w:p>
            <w:pPr>
              <w:widowControl/>
              <w:spacing w:line="280" w:lineRule="exact"/>
              <w:ind w:firstLine="0" w:firstLineChars="0"/>
              <w:jc w:val="center"/>
              <w:rPr>
                <w:rFonts w:eastAsia="仿宋_GB2312" w:cs="Times New Roman"/>
                <w:b/>
                <w:kern w:val="0"/>
                <w:sz w:val="21"/>
                <w:szCs w:val="21"/>
              </w:rPr>
            </w:pPr>
            <w:r>
              <w:rPr>
                <w:rFonts w:eastAsia="仿宋_GB2312" w:cs="Times New Roman"/>
                <w:b/>
                <w:kern w:val="0"/>
                <w:sz w:val="21"/>
                <w:szCs w:val="21"/>
              </w:rPr>
              <w:t>（mg/L）</w:t>
            </w:r>
          </w:p>
        </w:tc>
        <w:tc>
          <w:tcPr>
            <w:tcW w:w="943" w:type="dxa"/>
            <w:vAlign w:val="center"/>
          </w:tcPr>
          <w:p>
            <w:pPr>
              <w:widowControl/>
              <w:spacing w:line="280" w:lineRule="exact"/>
              <w:ind w:firstLine="0" w:firstLineChars="0"/>
              <w:jc w:val="center"/>
              <w:rPr>
                <w:rFonts w:eastAsia="仿宋_GB2312" w:cs="Times New Roman"/>
                <w:b/>
                <w:kern w:val="0"/>
                <w:sz w:val="21"/>
                <w:szCs w:val="21"/>
              </w:rPr>
            </w:pPr>
            <w:r>
              <w:rPr>
                <w:rFonts w:eastAsia="仿宋_GB2312" w:cs="Times New Roman"/>
                <w:b/>
                <w:kern w:val="0"/>
                <w:sz w:val="21"/>
                <w:szCs w:val="21"/>
              </w:rPr>
              <w:t>氨氮（mg/L）</w:t>
            </w:r>
          </w:p>
        </w:tc>
        <w:tc>
          <w:tcPr>
            <w:tcW w:w="887" w:type="dxa"/>
            <w:vAlign w:val="center"/>
          </w:tcPr>
          <w:p>
            <w:pPr>
              <w:widowControl/>
              <w:spacing w:line="280" w:lineRule="exact"/>
              <w:ind w:firstLine="0" w:firstLineChars="0"/>
              <w:jc w:val="center"/>
              <w:rPr>
                <w:rFonts w:eastAsia="仿宋_GB2312" w:cs="Times New Roman"/>
                <w:b/>
                <w:kern w:val="0"/>
                <w:sz w:val="21"/>
                <w:szCs w:val="21"/>
              </w:rPr>
            </w:pPr>
            <w:r>
              <w:rPr>
                <w:rFonts w:eastAsia="仿宋_GB2312" w:cs="Times New Roman"/>
                <w:b/>
                <w:kern w:val="0"/>
                <w:sz w:val="21"/>
                <w:szCs w:val="21"/>
              </w:rPr>
              <w:t>CODcr</w:t>
            </w:r>
          </w:p>
          <w:p>
            <w:pPr>
              <w:widowControl/>
              <w:spacing w:line="280" w:lineRule="exact"/>
              <w:ind w:firstLine="0" w:firstLineChars="0"/>
              <w:jc w:val="center"/>
              <w:rPr>
                <w:rFonts w:eastAsia="仿宋_GB2312" w:cs="Times New Roman"/>
                <w:b/>
                <w:kern w:val="0"/>
                <w:sz w:val="21"/>
                <w:szCs w:val="21"/>
              </w:rPr>
            </w:pPr>
            <w:r>
              <w:rPr>
                <w:rFonts w:eastAsia="仿宋_GB2312" w:cs="Times New Roman"/>
                <w:b/>
                <w:kern w:val="0"/>
                <w:sz w:val="21"/>
                <w:szCs w:val="21"/>
              </w:rPr>
              <w:t>（mg/L）</w:t>
            </w:r>
          </w:p>
        </w:tc>
        <w:tc>
          <w:tcPr>
            <w:tcW w:w="1001" w:type="dxa"/>
            <w:vAlign w:val="center"/>
          </w:tcPr>
          <w:p>
            <w:pPr>
              <w:widowControl/>
              <w:spacing w:line="280" w:lineRule="exact"/>
              <w:ind w:firstLine="0" w:firstLineChars="0"/>
              <w:jc w:val="center"/>
              <w:rPr>
                <w:rFonts w:eastAsia="仿宋_GB2312" w:cs="Times New Roman"/>
                <w:b/>
                <w:kern w:val="0"/>
                <w:sz w:val="21"/>
                <w:szCs w:val="21"/>
              </w:rPr>
            </w:pPr>
            <w:r>
              <w:rPr>
                <w:rFonts w:eastAsia="仿宋_GB2312" w:cs="Times New Roman"/>
                <w:b/>
                <w:kern w:val="0"/>
                <w:sz w:val="21"/>
                <w:szCs w:val="21"/>
              </w:rPr>
              <w:t>总磷（mg/L）</w:t>
            </w:r>
          </w:p>
        </w:tc>
        <w:tc>
          <w:tcPr>
            <w:tcW w:w="871" w:type="dxa"/>
            <w:vAlign w:val="center"/>
          </w:tcPr>
          <w:p>
            <w:pPr>
              <w:widowControl/>
              <w:spacing w:line="280" w:lineRule="exact"/>
              <w:ind w:firstLine="0" w:firstLineChars="0"/>
              <w:jc w:val="center"/>
              <w:rPr>
                <w:rFonts w:eastAsia="仿宋_GB2312" w:cs="Times New Roman"/>
                <w:b/>
                <w:kern w:val="0"/>
                <w:sz w:val="21"/>
                <w:szCs w:val="21"/>
              </w:rPr>
            </w:pPr>
            <w:r>
              <w:rPr>
                <w:rFonts w:eastAsia="仿宋_GB2312" w:cs="Times New Roman"/>
                <w:b/>
                <w:kern w:val="0"/>
                <w:sz w:val="21"/>
                <w:szCs w:val="21"/>
              </w:rPr>
              <w:t>水质类别</w:t>
            </w:r>
          </w:p>
        </w:tc>
        <w:tc>
          <w:tcPr>
            <w:tcW w:w="2502" w:type="dxa"/>
            <w:vAlign w:val="center"/>
          </w:tcPr>
          <w:p>
            <w:pPr>
              <w:widowControl/>
              <w:spacing w:line="280" w:lineRule="exact"/>
              <w:ind w:firstLine="0" w:firstLineChars="0"/>
              <w:jc w:val="center"/>
              <w:rPr>
                <w:rFonts w:eastAsia="仿宋_GB2312" w:cs="Times New Roman"/>
                <w:b/>
                <w:kern w:val="0"/>
                <w:sz w:val="21"/>
                <w:szCs w:val="21"/>
              </w:rPr>
            </w:pPr>
            <w:r>
              <w:rPr>
                <w:rFonts w:eastAsia="仿宋_GB2312" w:cs="Times New Roman"/>
                <w:b/>
                <w:kern w:val="0"/>
                <w:sz w:val="21"/>
                <w:szCs w:val="21"/>
              </w:rPr>
              <w:t>超标因子和倍数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2016</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2016</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2016</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9.83</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6.18</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40</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0.85</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氨氮（2.1）、总磷（1.1）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2016</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2016</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5</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2016</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2016</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2016</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8</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4.41</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7.09</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38</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1.14</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氨氮（2.5）、总磷（1.9）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96"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2016</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9</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6.5</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3.24</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35</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0.84</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生化需氧量（0.6）、氨氮（0.6）、总磷（1.1）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2016</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10</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6.66</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5.45</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30</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0.7</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氨氮（1.7）、总磷（0.8）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2016</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11</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6.44</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9.32</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27</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1.04</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氨氮（3.7）、总磷（1.6）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93"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2016</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12</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9.81</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9.43</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45</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0.31</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氨氮（3.7）、化学需氧量（0.1）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2016</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年均</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7.3</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6.79</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35.8</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0.813</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氨氮（2.4）、总磷（1）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2017</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6.39</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9.74</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33</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0.62</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氨氮（3.9）、总磷（0.6）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2017</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9.28</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7.5</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38</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0.58</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氨氮（2.8）、总磷（0.5）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2017</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8</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10.33</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34</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0.8</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氨氮（4.2）、总磷（1）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2017</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93"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2017</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5</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13.12</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7.27</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39</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0.89</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生化需氧量（0.4）、氨氮（2.6）、总磷（1.2）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2017</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7.57</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0.217</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35</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0.34</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阴离子表面活性剂（0.2）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2017</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8.25</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2.12</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0.53</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氨氮（0.1）、总磷（0.3）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2017</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8</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4.8</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2.96</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0.29</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2017</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9</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6.61</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0.566</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22</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0.27</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cs="Times New Roman"/>
                <w:kern w:val="0"/>
                <w:sz w:val="21"/>
                <w:szCs w:val="21"/>
              </w:rPr>
              <w:t>Ⅳ</w:t>
            </w:r>
          </w:p>
        </w:tc>
        <w:tc>
          <w:tcPr>
            <w:tcW w:w="2502" w:type="dxa"/>
            <w:vAlign w:val="center"/>
          </w:tcPr>
          <w:p>
            <w:pPr>
              <w:widowControl/>
              <w:spacing w:line="280" w:lineRule="exact"/>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2017</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10</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5.7</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1.96</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21</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0.47</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总磷（0.2）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2017</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11</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3.8</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5.36</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21</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0.42</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氨氮（1.7）、总磷（0.05）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2017</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12</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3.1</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0.64</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31</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0.15</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2017</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年均</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4.42</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28.5</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0.487</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氨氮（1.2）、总磷（0.2）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2018</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9.1</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15</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35</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1.3</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氨氮（6.5）、总磷（2.3）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40"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2018</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10.6</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16.3</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45</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1.64</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生化需氧量（0.2）、氨氮（7.2）、化学需氧量（0.1）、总磷（3.1）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2018</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8.4</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0.2</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45</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0.15</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化学需氧量（0.1）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2018</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5</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0.22</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18</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0.05</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cs="Times New Roman"/>
                <w:kern w:val="0"/>
                <w:sz w:val="21"/>
                <w:szCs w:val="21"/>
              </w:rPr>
              <w:t>Ⅲ</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2018</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5</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8.4</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0.18</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36</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0.12</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2018</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6.2</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0.22</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28</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0.07</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cs="Times New Roman"/>
                <w:kern w:val="0"/>
                <w:sz w:val="21"/>
                <w:szCs w:val="21"/>
              </w:rPr>
              <w:t>Ⅳ</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2018</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7.4</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0.02</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32</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0.1</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2018</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8</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6.6</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0.06</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33</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0.14</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2018</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9</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7.2</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0.68</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25</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0.15</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cs="Times New Roman"/>
                <w:kern w:val="0"/>
                <w:sz w:val="21"/>
                <w:szCs w:val="21"/>
              </w:rPr>
              <w:t>Ⅳ</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2018</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10</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6.6</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0.04</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28</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0.1</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cs="Times New Roman"/>
                <w:kern w:val="0"/>
                <w:sz w:val="21"/>
                <w:szCs w:val="21"/>
              </w:rPr>
              <w:t>Ⅳ</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2018</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11</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5</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0.69</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19</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0.07</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cs="Times New Roman"/>
                <w:kern w:val="0"/>
                <w:sz w:val="21"/>
                <w:szCs w:val="21"/>
              </w:rPr>
              <w:t>Ⅳ</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2018</w:t>
            </w:r>
          </w:p>
        </w:tc>
        <w:tc>
          <w:tcPr>
            <w:tcW w:w="600"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12</w:t>
            </w:r>
          </w:p>
        </w:tc>
        <w:tc>
          <w:tcPr>
            <w:tcW w:w="1115"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5.4</w:t>
            </w:r>
          </w:p>
        </w:tc>
        <w:tc>
          <w:tcPr>
            <w:tcW w:w="943"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4.58</w:t>
            </w:r>
          </w:p>
        </w:tc>
        <w:tc>
          <w:tcPr>
            <w:tcW w:w="887"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w:t>
            </w:r>
          </w:p>
        </w:tc>
        <w:tc>
          <w:tcPr>
            <w:tcW w:w="100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0.26</w:t>
            </w:r>
          </w:p>
        </w:tc>
        <w:tc>
          <w:tcPr>
            <w:tcW w:w="871"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tcBorders>
              <w:bottom w:val="single" w:color="auto" w:sz="4" w:space="0"/>
            </w:tcBorders>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2018</w:t>
            </w:r>
          </w:p>
        </w:tc>
        <w:tc>
          <w:tcPr>
            <w:tcW w:w="600" w:type="dxa"/>
            <w:tcBorders>
              <w:bottom w:val="single" w:color="auto" w:sz="4" w:space="0"/>
            </w:tcBorders>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年均</w:t>
            </w:r>
          </w:p>
        </w:tc>
        <w:tc>
          <w:tcPr>
            <w:tcW w:w="1115" w:type="dxa"/>
            <w:tcBorders>
              <w:bottom w:val="single" w:color="auto" w:sz="4" w:space="0"/>
            </w:tcBorders>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7.2</w:t>
            </w:r>
          </w:p>
        </w:tc>
        <w:tc>
          <w:tcPr>
            <w:tcW w:w="943" w:type="dxa"/>
            <w:tcBorders>
              <w:bottom w:val="single" w:color="auto" w:sz="4" w:space="0"/>
            </w:tcBorders>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3.18</w:t>
            </w:r>
          </w:p>
        </w:tc>
        <w:tc>
          <w:tcPr>
            <w:tcW w:w="887" w:type="dxa"/>
            <w:tcBorders>
              <w:bottom w:val="single" w:color="auto" w:sz="4" w:space="0"/>
            </w:tcBorders>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30.3</w:t>
            </w:r>
          </w:p>
        </w:tc>
        <w:tc>
          <w:tcPr>
            <w:tcW w:w="1001" w:type="dxa"/>
            <w:tcBorders>
              <w:bottom w:val="single" w:color="auto" w:sz="4" w:space="0"/>
            </w:tcBorders>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0.346</w:t>
            </w:r>
          </w:p>
        </w:tc>
        <w:tc>
          <w:tcPr>
            <w:tcW w:w="871" w:type="dxa"/>
            <w:tcBorders>
              <w:bottom w:val="single" w:color="auto" w:sz="4" w:space="0"/>
            </w:tcBorders>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tcBorders>
              <w:bottom w:val="single" w:color="auto" w:sz="4" w:space="0"/>
            </w:tcBorders>
            <w:vAlign w:val="center"/>
          </w:tcPr>
          <w:p>
            <w:pPr>
              <w:widowControl/>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2019</w:t>
            </w:r>
          </w:p>
        </w:tc>
        <w:tc>
          <w:tcPr>
            <w:tcW w:w="600" w:type="dxa"/>
            <w:tcBorders>
              <w:top w:val="single" w:color="auto" w:sz="4" w:space="0"/>
              <w:left w:val="single" w:color="auto" w:sz="4" w:space="0"/>
              <w:bottom w:val="single" w:color="auto" w:sz="4" w:space="0"/>
              <w:right w:val="single" w:color="auto" w:sz="4" w:space="0"/>
            </w:tcBorders>
            <w:vAlign w:val="center"/>
          </w:tcPr>
          <w:p>
            <w:pPr>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1115" w:type="dxa"/>
            <w:tcBorders>
              <w:top w:val="single" w:color="auto" w:sz="4" w:space="0"/>
              <w:left w:val="single" w:color="auto" w:sz="4" w:space="0"/>
              <w:bottom w:val="single" w:color="auto" w:sz="4" w:space="0"/>
              <w:right w:val="single" w:color="auto" w:sz="4" w:space="0"/>
            </w:tcBorders>
            <w:vAlign w:val="center"/>
          </w:tcPr>
          <w:p>
            <w:pPr>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6.3</w:t>
            </w:r>
          </w:p>
        </w:tc>
        <w:tc>
          <w:tcPr>
            <w:tcW w:w="943" w:type="dxa"/>
            <w:tcBorders>
              <w:top w:val="single" w:color="auto" w:sz="4" w:space="0"/>
              <w:left w:val="single" w:color="auto" w:sz="4" w:space="0"/>
              <w:bottom w:val="single" w:color="auto" w:sz="4" w:space="0"/>
              <w:right w:val="single" w:color="auto" w:sz="4" w:space="0"/>
            </w:tcBorders>
            <w:vAlign w:val="center"/>
          </w:tcPr>
          <w:p>
            <w:pPr>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6.03</w:t>
            </w:r>
          </w:p>
        </w:tc>
        <w:tc>
          <w:tcPr>
            <w:tcW w:w="887" w:type="dxa"/>
            <w:tcBorders>
              <w:top w:val="single" w:color="auto" w:sz="4" w:space="0"/>
              <w:left w:val="single" w:color="auto" w:sz="4" w:space="0"/>
              <w:bottom w:val="single" w:color="auto" w:sz="4" w:space="0"/>
              <w:right w:val="single" w:color="auto" w:sz="4" w:space="0"/>
            </w:tcBorders>
            <w:vAlign w:val="center"/>
          </w:tcPr>
          <w:p>
            <w:pPr>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31</w:t>
            </w:r>
          </w:p>
        </w:tc>
        <w:tc>
          <w:tcPr>
            <w:tcW w:w="1001" w:type="dxa"/>
            <w:tcBorders>
              <w:top w:val="single" w:color="auto" w:sz="4" w:space="0"/>
              <w:left w:val="single" w:color="auto" w:sz="4" w:space="0"/>
              <w:bottom w:val="single" w:color="auto" w:sz="4" w:space="0"/>
              <w:right w:val="single" w:color="auto" w:sz="4" w:space="0"/>
            </w:tcBorders>
            <w:vAlign w:val="center"/>
          </w:tcPr>
          <w:p>
            <w:pPr>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0.55</w:t>
            </w:r>
          </w:p>
        </w:tc>
        <w:tc>
          <w:tcPr>
            <w:tcW w:w="871" w:type="dxa"/>
            <w:tcBorders>
              <w:top w:val="single" w:color="auto" w:sz="4" w:space="0"/>
              <w:left w:val="single" w:color="auto" w:sz="4" w:space="0"/>
              <w:bottom w:val="single" w:color="auto" w:sz="4" w:space="0"/>
              <w:right w:val="single" w:color="auto" w:sz="4" w:space="0"/>
            </w:tcBorders>
            <w:vAlign w:val="center"/>
          </w:tcPr>
          <w:p>
            <w:pPr>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tcBorders>
              <w:top w:val="single" w:color="auto" w:sz="4" w:space="0"/>
              <w:left w:val="single" w:color="auto" w:sz="4" w:space="0"/>
              <w:bottom w:val="single" w:color="auto" w:sz="4" w:space="0"/>
              <w:right w:val="single" w:color="auto" w:sz="4" w:space="0"/>
            </w:tcBorders>
            <w:vAlign w:val="center"/>
          </w:tcPr>
          <w:p>
            <w:pPr>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氨氮（2）总磷（0.4）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2019</w:t>
            </w:r>
          </w:p>
        </w:tc>
        <w:tc>
          <w:tcPr>
            <w:tcW w:w="600"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1115"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6.3</w:t>
            </w:r>
          </w:p>
        </w:tc>
        <w:tc>
          <w:tcPr>
            <w:tcW w:w="943"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5.07</w:t>
            </w:r>
          </w:p>
        </w:tc>
        <w:tc>
          <w:tcPr>
            <w:tcW w:w="887"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28</w:t>
            </w:r>
          </w:p>
        </w:tc>
        <w:tc>
          <w:tcPr>
            <w:tcW w:w="100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0.35</w:t>
            </w:r>
          </w:p>
        </w:tc>
        <w:tc>
          <w:tcPr>
            <w:tcW w:w="87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2019</w:t>
            </w:r>
          </w:p>
        </w:tc>
        <w:tc>
          <w:tcPr>
            <w:tcW w:w="600"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1115"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6.7</w:t>
            </w:r>
          </w:p>
        </w:tc>
        <w:tc>
          <w:tcPr>
            <w:tcW w:w="943"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4.13</w:t>
            </w:r>
          </w:p>
        </w:tc>
        <w:tc>
          <w:tcPr>
            <w:tcW w:w="887"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36</w:t>
            </w:r>
          </w:p>
        </w:tc>
        <w:tc>
          <w:tcPr>
            <w:tcW w:w="100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0.36</w:t>
            </w:r>
          </w:p>
        </w:tc>
        <w:tc>
          <w:tcPr>
            <w:tcW w:w="87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氨氮（1.1）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2019</w:t>
            </w:r>
          </w:p>
        </w:tc>
        <w:tc>
          <w:tcPr>
            <w:tcW w:w="600"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w:t>
            </w:r>
          </w:p>
        </w:tc>
        <w:tc>
          <w:tcPr>
            <w:tcW w:w="1115"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8.3</w:t>
            </w:r>
          </w:p>
        </w:tc>
        <w:tc>
          <w:tcPr>
            <w:tcW w:w="943"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0.31</w:t>
            </w:r>
          </w:p>
        </w:tc>
        <w:tc>
          <w:tcPr>
            <w:tcW w:w="887"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41</w:t>
            </w:r>
          </w:p>
        </w:tc>
        <w:tc>
          <w:tcPr>
            <w:tcW w:w="100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0.33</w:t>
            </w:r>
          </w:p>
        </w:tc>
        <w:tc>
          <w:tcPr>
            <w:tcW w:w="87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化学需氧量（0.02）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2019</w:t>
            </w:r>
          </w:p>
        </w:tc>
        <w:tc>
          <w:tcPr>
            <w:tcW w:w="600"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5</w:t>
            </w:r>
          </w:p>
        </w:tc>
        <w:tc>
          <w:tcPr>
            <w:tcW w:w="1115"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9.1</w:t>
            </w:r>
          </w:p>
        </w:tc>
        <w:tc>
          <w:tcPr>
            <w:tcW w:w="943"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0.53</w:t>
            </w:r>
          </w:p>
        </w:tc>
        <w:tc>
          <w:tcPr>
            <w:tcW w:w="887"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39</w:t>
            </w:r>
          </w:p>
        </w:tc>
        <w:tc>
          <w:tcPr>
            <w:tcW w:w="100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0.21</w:t>
            </w:r>
          </w:p>
        </w:tc>
        <w:tc>
          <w:tcPr>
            <w:tcW w:w="87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PH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 w:hRule="atLeast"/>
          <w:jc w:val="center"/>
        </w:trPr>
        <w:tc>
          <w:tcPr>
            <w:tcW w:w="864"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2019</w:t>
            </w:r>
          </w:p>
        </w:tc>
        <w:tc>
          <w:tcPr>
            <w:tcW w:w="600"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w:t>
            </w:r>
          </w:p>
        </w:tc>
        <w:tc>
          <w:tcPr>
            <w:tcW w:w="1115"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9.4</w:t>
            </w:r>
          </w:p>
        </w:tc>
        <w:tc>
          <w:tcPr>
            <w:tcW w:w="943"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0.42</w:t>
            </w:r>
          </w:p>
        </w:tc>
        <w:tc>
          <w:tcPr>
            <w:tcW w:w="887"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32</w:t>
            </w:r>
          </w:p>
        </w:tc>
        <w:tc>
          <w:tcPr>
            <w:tcW w:w="100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0.27</w:t>
            </w:r>
          </w:p>
        </w:tc>
        <w:tc>
          <w:tcPr>
            <w:tcW w:w="87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cs="Times New Roman"/>
                <w:kern w:val="0"/>
                <w:sz w:val="21"/>
                <w:szCs w:val="21"/>
              </w:rPr>
              <w:t>Ⅴ</w:t>
            </w:r>
          </w:p>
        </w:tc>
        <w:tc>
          <w:tcPr>
            <w:tcW w:w="2502"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96" w:hRule="atLeast"/>
          <w:jc w:val="center"/>
        </w:trPr>
        <w:tc>
          <w:tcPr>
            <w:tcW w:w="864"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2019</w:t>
            </w:r>
          </w:p>
        </w:tc>
        <w:tc>
          <w:tcPr>
            <w:tcW w:w="600"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w:t>
            </w:r>
          </w:p>
        </w:tc>
        <w:tc>
          <w:tcPr>
            <w:tcW w:w="1115"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7.1</w:t>
            </w:r>
          </w:p>
        </w:tc>
        <w:tc>
          <w:tcPr>
            <w:tcW w:w="943"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0.18</w:t>
            </w:r>
          </w:p>
        </w:tc>
        <w:tc>
          <w:tcPr>
            <w:tcW w:w="887"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65</w:t>
            </w:r>
          </w:p>
        </w:tc>
        <w:tc>
          <w:tcPr>
            <w:tcW w:w="100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0.2</w:t>
            </w:r>
          </w:p>
        </w:tc>
        <w:tc>
          <w:tcPr>
            <w:tcW w:w="87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劣</w:t>
            </w:r>
            <w:r>
              <w:rPr>
                <w:rFonts w:cs="Times New Roman"/>
                <w:kern w:val="0"/>
                <w:sz w:val="21"/>
                <w:szCs w:val="21"/>
              </w:rPr>
              <w:t>Ⅴ</w:t>
            </w:r>
          </w:p>
        </w:tc>
        <w:tc>
          <w:tcPr>
            <w:tcW w:w="2502"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化学需氧量（0.6）、生化需氧量（0.4）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8" w:hRule="atLeast"/>
          <w:jc w:val="center"/>
        </w:trPr>
        <w:tc>
          <w:tcPr>
            <w:tcW w:w="864"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2019</w:t>
            </w:r>
          </w:p>
        </w:tc>
        <w:tc>
          <w:tcPr>
            <w:tcW w:w="600"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8</w:t>
            </w:r>
          </w:p>
        </w:tc>
        <w:tc>
          <w:tcPr>
            <w:tcW w:w="1115"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6.8</w:t>
            </w:r>
          </w:p>
        </w:tc>
        <w:tc>
          <w:tcPr>
            <w:tcW w:w="943"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1.03</w:t>
            </w:r>
          </w:p>
        </w:tc>
        <w:tc>
          <w:tcPr>
            <w:tcW w:w="887"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24</w:t>
            </w:r>
          </w:p>
        </w:tc>
        <w:tc>
          <w:tcPr>
            <w:tcW w:w="100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eastAsia="仿宋_GB2312" w:cs="Times New Roman"/>
                <w:kern w:val="0"/>
                <w:sz w:val="21"/>
                <w:szCs w:val="21"/>
              </w:rPr>
              <w:t>0.11</w:t>
            </w:r>
          </w:p>
        </w:tc>
        <w:tc>
          <w:tcPr>
            <w:tcW w:w="871"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r>
              <w:rPr>
                <w:rFonts w:cs="Times New Roman"/>
                <w:kern w:val="0"/>
                <w:sz w:val="21"/>
                <w:szCs w:val="21"/>
              </w:rPr>
              <w:t>Ⅳ</w:t>
            </w:r>
          </w:p>
        </w:tc>
        <w:tc>
          <w:tcPr>
            <w:tcW w:w="2502" w:type="dxa"/>
            <w:tcBorders>
              <w:top w:val="single" w:color="auto" w:sz="4" w:space="0"/>
              <w:left w:val="single" w:color="auto" w:sz="4" w:space="0"/>
              <w:bottom w:val="single" w:color="auto" w:sz="4" w:space="0"/>
              <w:right w:val="single" w:color="auto" w:sz="4" w:space="0"/>
            </w:tcBorders>
            <w:vAlign w:val="center"/>
          </w:tcPr>
          <w:p>
            <w:pPr>
              <w:widowControl/>
              <w:snapToGrid w:val="0"/>
              <w:spacing w:line="280" w:lineRule="exact"/>
              <w:ind w:firstLine="0" w:firstLineChars="0"/>
              <w:jc w:val="center"/>
              <w:rPr>
                <w:rFonts w:eastAsia="仿宋_GB2312" w:cs="Times New Roman"/>
                <w:kern w:val="0"/>
                <w:sz w:val="21"/>
                <w:szCs w:val="21"/>
              </w:rPr>
            </w:pPr>
          </w:p>
        </w:tc>
      </w:tr>
    </w:tbl>
    <w:p>
      <w:pPr>
        <w:adjustRightInd w:val="0"/>
        <w:snapToGrid w:val="0"/>
        <w:spacing w:after="163" w:afterLines="50" w:line="584" w:lineRule="exact"/>
        <w:ind w:firstLine="640"/>
        <w:rPr>
          <w:rFonts w:eastAsia="仿宋_GB2312" w:cs="Times New Roman"/>
          <w:sz w:val="28"/>
          <w:szCs w:val="21"/>
        </w:rPr>
      </w:pPr>
      <w:r>
        <w:rPr>
          <w:rFonts w:eastAsia="仿宋_GB2312" w:cs="Times New Roman"/>
          <w:sz w:val="32"/>
          <w:szCs w:val="32"/>
        </w:rPr>
        <w:t>由上表可知，自2016年以来，</w:t>
      </w:r>
      <w:r>
        <w:rPr>
          <w:rFonts w:hint="eastAsia" w:eastAsia="仿宋_GB2312" w:cs="Times New Roman"/>
          <w:sz w:val="32"/>
          <w:szCs w:val="32"/>
        </w:rPr>
        <w:t>三河</w:t>
      </w:r>
      <w:r>
        <w:rPr>
          <w:rFonts w:eastAsia="仿宋_GB2312" w:cs="Times New Roman"/>
          <w:sz w:val="32"/>
          <w:szCs w:val="32"/>
        </w:rPr>
        <w:t>东大桥断面年均水质均未到Ｖ类水质目标要求，主要超标因子为氨氮及总磷。从具体水质指标来看，2016</w:t>
      </w:r>
      <w:r>
        <w:rPr>
          <w:rFonts w:hint="eastAsia" w:eastAsia="仿宋_GB2312" w:cs="Times New Roman"/>
          <w:sz w:val="32"/>
          <w:szCs w:val="32"/>
        </w:rPr>
        <w:t>—</w:t>
      </w:r>
      <w:r>
        <w:rPr>
          <w:rFonts w:eastAsia="仿宋_GB2312" w:cs="Times New Roman"/>
          <w:sz w:val="32"/>
          <w:szCs w:val="32"/>
        </w:rPr>
        <w:t>2018年主要指标年均浓度均呈下降趋势，2018年较2016年氨氮、总磷、CODcr和CODmn浓度分别下降53.2%、57.4%、15.4%、1.4%。主要污染物浓度变化情况见图5</w:t>
      </w:r>
      <w:r>
        <w:rPr>
          <w:rFonts w:hint="eastAsia" w:eastAsia="仿宋_GB2312" w:cs="Times New Roman"/>
          <w:sz w:val="32"/>
          <w:szCs w:val="32"/>
        </w:rPr>
        <w:t>-</w:t>
      </w:r>
      <w:r>
        <w:rPr>
          <w:rFonts w:eastAsia="仿宋_GB2312" w:cs="Times New Roman"/>
          <w:sz w:val="32"/>
          <w:szCs w:val="32"/>
        </w:rPr>
        <w:t>1至图5</w:t>
      </w:r>
      <w:r>
        <w:rPr>
          <w:rFonts w:hint="eastAsia" w:eastAsia="仿宋_GB2312" w:cs="Times New Roman"/>
          <w:sz w:val="32"/>
          <w:szCs w:val="32"/>
        </w:rPr>
        <w:t>-</w:t>
      </w:r>
      <w:r>
        <w:rPr>
          <w:rFonts w:eastAsia="仿宋_GB2312" w:cs="Times New Roman"/>
          <w:sz w:val="32"/>
          <w:szCs w:val="32"/>
        </w:rPr>
        <w:t>4。</w:t>
      </w:r>
    </w:p>
    <w:p>
      <w:pPr>
        <w:snapToGrid w:val="0"/>
        <w:spacing w:line="240" w:lineRule="auto"/>
        <w:ind w:firstLine="0" w:firstLineChars="0"/>
        <w:jc w:val="center"/>
        <w:rPr>
          <w:rFonts w:eastAsia="仿宋_GB2312" w:cs="Times New Roman"/>
          <w:sz w:val="32"/>
          <w:szCs w:val="32"/>
        </w:rPr>
      </w:pPr>
      <w:r>
        <w:rPr>
          <w:rFonts w:eastAsia="仿宋_GB2312" w:cs="Times New Roman"/>
          <w:sz w:val="32"/>
          <w:szCs w:val="32"/>
        </w:rPr>
        <w:drawing>
          <wp:inline distT="0" distB="0" distL="114300" distR="114300">
            <wp:extent cx="5558155" cy="2641600"/>
            <wp:effectExtent l="0" t="0" r="4445" b="6350"/>
            <wp:docPr id="9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66"/>
                    <pic:cNvPicPr>
                      <a:picLocks noRot="1" noChangeAspect="1"/>
                    </pic:cNvPicPr>
                  </pic:nvPicPr>
                  <pic:blipFill>
                    <a:blip r:embed="rId26"/>
                    <a:stretch>
                      <a:fillRect/>
                    </a:stretch>
                  </pic:blipFill>
                  <pic:spPr>
                    <a:xfrm>
                      <a:off x="0" y="0"/>
                      <a:ext cx="5558155" cy="2641600"/>
                    </a:xfrm>
                    <a:prstGeom prst="rect">
                      <a:avLst/>
                    </a:prstGeom>
                    <a:noFill/>
                    <a:ln w="9525">
                      <a:noFill/>
                    </a:ln>
                  </pic:spPr>
                </pic:pic>
              </a:graphicData>
            </a:graphic>
          </wp:inline>
        </w:drawing>
      </w:r>
    </w:p>
    <w:p>
      <w:pPr>
        <w:snapToGrid w:val="0"/>
        <w:spacing w:before="163" w:beforeLines="50" w:after="163" w:afterLines="50" w:line="240" w:lineRule="auto"/>
        <w:ind w:firstLine="0" w:firstLineChars="0"/>
        <w:jc w:val="center"/>
        <w:rPr>
          <w:rFonts w:eastAsia="仿宋_GB2312" w:cs="Times New Roman"/>
          <w:b/>
        </w:rPr>
      </w:pPr>
      <w:r>
        <w:rPr>
          <w:rFonts w:eastAsia="仿宋_GB2312" w:cs="Times New Roman"/>
          <w:b/>
        </w:rPr>
        <w:t>图5</w:t>
      </w:r>
      <w:r>
        <w:rPr>
          <w:rFonts w:hint="eastAsia" w:eastAsia="仿宋_GB2312" w:cs="Times New Roman"/>
          <w:b/>
        </w:rPr>
        <w:t>-</w:t>
      </w:r>
      <w:r>
        <w:rPr>
          <w:rFonts w:eastAsia="仿宋_GB2312" w:cs="Times New Roman"/>
          <w:b/>
        </w:rPr>
        <w:t>1东大桥断面氨氮浓度年际变化</w:t>
      </w:r>
    </w:p>
    <w:p>
      <w:pPr>
        <w:snapToGrid w:val="0"/>
        <w:spacing w:line="240" w:lineRule="auto"/>
        <w:ind w:firstLine="0" w:firstLineChars="0"/>
        <w:jc w:val="center"/>
        <w:rPr>
          <w:rFonts w:eastAsia="仿宋_GB2312" w:cs="Times New Roman"/>
          <w:sz w:val="32"/>
          <w:szCs w:val="32"/>
        </w:rPr>
      </w:pPr>
      <w:r>
        <w:rPr>
          <w:rFonts w:eastAsia="仿宋_GB2312" w:cs="Times New Roman"/>
          <w:sz w:val="32"/>
          <w:szCs w:val="32"/>
        </w:rPr>
        <w:drawing>
          <wp:inline distT="0" distB="0" distL="114300" distR="114300">
            <wp:extent cx="5562600" cy="2776220"/>
            <wp:effectExtent l="0" t="0" r="0" b="5080"/>
            <wp:docPr id="10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67"/>
                    <pic:cNvPicPr>
                      <a:picLocks noChangeAspect="1"/>
                    </pic:cNvPicPr>
                  </pic:nvPicPr>
                  <pic:blipFill>
                    <a:blip r:embed="rId27"/>
                    <a:stretch>
                      <a:fillRect/>
                    </a:stretch>
                  </pic:blipFill>
                  <pic:spPr>
                    <a:xfrm>
                      <a:off x="0" y="0"/>
                      <a:ext cx="5562600" cy="2776220"/>
                    </a:xfrm>
                    <a:prstGeom prst="rect">
                      <a:avLst/>
                    </a:prstGeom>
                    <a:noFill/>
                    <a:ln w="9525">
                      <a:noFill/>
                    </a:ln>
                  </pic:spPr>
                </pic:pic>
              </a:graphicData>
            </a:graphic>
          </wp:inline>
        </w:drawing>
      </w:r>
    </w:p>
    <w:p>
      <w:pPr>
        <w:snapToGrid w:val="0"/>
        <w:spacing w:before="163" w:beforeLines="50" w:after="1304" w:afterLines="400" w:line="240" w:lineRule="auto"/>
        <w:ind w:firstLine="0" w:firstLineChars="0"/>
        <w:jc w:val="center"/>
        <w:rPr>
          <w:rFonts w:eastAsia="仿宋_GB2312" w:cs="Times New Roman"/>
          <w:b/>
          <w:sz w:val="32"/>
          <w:szCs w:val="32"/>
        </w:rPr>
      </w:pPr>
      <w:r>
        <w:rPr>
          <w:rFonts w:eastAsia="仿宋_GB2312" w:cs="Times New Roman"/>
          <w:b/>
        </w:rPr>
        <w:t>图5</w:t>
      </w:r>
      <w:r>
        <w:rPr>
          <w:rFonts w:hint="eastAsia" w:eastAsia="仿宋_GB2312" w:cs="Times New Roman"/>
          <w:b/>
        </w:rPr>
        <w:t>-</w:t>
      </w:r>
      <w:r>
        <w:rPr>
          <w:rFonts w:eastAsia="仿宋_GB2312" w:cs="Times New Roman"/>
          <w:b/>
        </w:rPr>
        <w:t>2东大桥断面总磷浓度年际变化</w:t>
      </w:r>
    </w:p>
    <w:p>
      <w:pPr>
        <w:snapToGrid w:val="0"/>
        <w:spacing w:line="240" w:lineRule="auto"/>
        <w:ind w:firstLine="0" w:firstLineChars="0"/>
        <w:jc w:val="center"/>
        <w:rPr>
          <w:rFonts w:eastAsia="仿宋_GB2312" w:cs="Times New Roman"/>
          <w:sz w:val="32"/>
          <w:szCs w:val="32"/>
        </w:rPr>
      </w:pPr>
      <w:r>
        <w:rPr>
          <w:rFonts w:eastAsia="仿宋_GB2312" w:cs="Times New Roman"/>
          <w:sz w:val="32"/>
          <w:szCs w:val="32"/>
        </w:rPr>
        <w:drawing>
          <wp:inline distT="0" distB="0" distL="114300" distR="114300">
            <wp:extent cx="5372100" cy="2967990"/>
            <wp:effectExtent l="0" t="0" r="0" b="3810"/>
            <wp:docPr id="10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8"/>
                    <pic:cNvPicPr>
                      <a:picLocks noRot="1" noChangeAspect="1"/>
                    </pic:cNvPicPr>
                  </pic:nvPicPr>
                  <pic:blipFill>
                    <a:blip r:embed="rId28"/>
                    <a:stretch>
                      <a:fillRect/>
                    </a:stretch>
                  </pic:blipFill>
                  <pic:spPr>
                    <a:xfrm>
                      <a:off x="0" y="0"/>
                      <a:ext cx="5372100" cy="2967990"/>
                    </a:xfrm>
                    <a:prstGeom prst="rect">
                      <a:avLst/>
                    </a:prstGeom>
                    <a:noFill/>
                    <a:ln w="9525">
                      <a:noFill/>
                    </a:ln>
                  </pic:spPr>
                </pic:pic>
              </a:graphicData>
            </a:graphic>
          </wp:inline>
        </w:drawing>
      </w:r>
    </w:p>
    <w:p>
      <w:pPr>
        <w:snapToGrid w:val="0"/>
        <w:spacing w:before="163" w:beforeLines="50" w:after="163" w:afterLines="50" w:line="240" w:lineRule="auto"/>
        <w:ind w:firstLine="0" w:firstLineChars="0"/>
        <w:jc w:val="center"/>
        <w:rPr>
          <w:rFonts w:eastAsia="仿宋_GB2312" w:cs="Times New Roman"/>
          <w:b/>
        </w:rPr>
      </w:pPr>
      <w:r>
        <w:rPr>
          <w:rFonts w:eastAsia="仿宋_GB2312" w:cs="Times New Roman"/>
          <w:b/>
        </w:rPr>
        <w:t>图5</w:t>
      </w:r>
      <w:r>
        <w:rPr>
          <w:rFonts w:hint="eastAsia" w:eastAsia="仿宋_GB2312" w:cs="Times New Roman"/>
          <w:b/>
        </w:rPr>
        <w:t>-</w:t>
      </w:r>
      <w:r>
        <w:rPr>
          <w:rFonts w:eastAsia="仿宋_GB2312" w:cs="Times New Roman"/>
          <w:b/>
        </w:rPr>
        <w:t>3东大桥断面化学需氧量浓度年际变化</w:t>
      </w:r>
    </w:p>
    <w:p>
      <w:pPr>
        <w:snapToGrid w:val="0"/>
        <w:spacing w:line="240" w:lineRule="auto"/>
        <w:ind w:firstLine="0" w:firstLineChars="0"/>
        <w:jc w:val="center"/>
        <w:rPr>
          <w:rFonts w:eastAsia="仿宋_GB2312" w:cs="Times New Roman"/>
          <w:sz w:val="32"/>
          <w:szCs w:val="32"/>
        </w:rPr>
      </w:pPr>
      <w:r>
        <w:rPr>
          <w:rFonts w:eastAsia="仿宋_GB2312" w:cs="Times New Roman"/>
          <w:sz w:val="32"/>
          <w:szCs w:val="32"/>
        </w:rPr>
        <w:drawing>
          <wp:inline distT="0" distB="0" distL="114300" distR="114300">
            <wp:extent cx="5326380" cy="2915920"/>
            <wp:effectExtent l="0" t="0" r="7620" b="17780"/>
            <wp:docPr id="10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69"/>
                    <pic:cNvPicPr>
                      <a:picLocks noRot="1" noChangeAspect="1"/>
                    </pic:cNvPicPr>
                  </pic:nvPicPr>
                  <pic:blipFill>
                    <a:blip r:embed="rId29"/>
                    <a:stretch>
                      <a:fillRect/>
                    </a:stretch>
                  </pic:blipFill>
                  <pic:spPr>
                    <a:xfrm>
                      <a:off x="0" y="0"/>
                      <a:ext cx="5326380" cy="2915920"/>
                    </a:xfrm>
                    <a:prstGeom prst="rect">
                      <a:avLst/>
                    </a:prstGeom>
                    <a:noFill/>
                    <a:ln w="9525">
                      <a:noFill/>
                    </a:ln>
                  </pic:spPr>
                </pic:pic>
              </a:graphicData>
            </a:graphic>
          </wp:inline>
        </w:drawing>
      </w:r>
    </w:p>
    <w:p>
      <w:pPr>
        <w:snapToGrid w:val="0"/>
        <w:spacing w:before="163" w:beforeLines="50" w:after="163" w:afterLines="50" w:line="240" w:lineRule="auto"/>
        <w:ind w:firstLine="0" w:firstLineChars="0"/>
        <w:jc w:val="center"/>
        <w:rPr>
          <w:rFonts w:eastAsia="仿宋_GB2312" w:cs="Times New Roman"/>
          <w:b/>
          <w:sz w:val="32"/>
          <w:szCs w:val="32"/>
        </w:rPr>
      </w:pPr>
      <w:r>
        <w:rPr>
          <w:rFonts w:eastAsia="仿宋_GB2312" w:cs="Times New Roman"/>
          <w:b/>
        </w:rPr>
        <w:t>图5</w:t>
      </w:r>
      <w:r>
        <w:rPr>
          <w:rFonts w:hint="eastAsia" w:eastAsia="仿宋_GB2312" w:cs="Times New Roman"/>
          <w:b/>
        </w:rPr>
        <w:t>-</w:t>
      </w:r>
      <w:r>
        <w:rPr>
          <w:rFonts w:eastAsia="仿宋_GB2312" w:cs="Times New Roman"/>
          <w:b/>
        </w:rPr>
        <w:t>4东大桥断面高锰酸盐指数浓度年际变化</w:t>
      </w:r>
    </w:p>
    <w:p>
      <w:pPr>
        <w:spacing w:after="97" w:afterLines="30" w:line="580" w:lineRule="exact"/>
        <w:ind w:firstLine="640"/>
        <w:rPr>
          <w:rFonts w:eastAsia="仿宋_GB2312" w:cs="Times New Roman"/>
          <w:sz w:val="32"/>
          <w:szCs w:val="32"/>
        </w:rPr>
      </w:pPr>
      <w:r>
        <w:rPr>
          <w:rFonts w:eastAsia="仿宋_GB2312" w:cs="Times New Roman"/>
          <w:sz w:val="32"/>
          <w:szCs w:val="32"/>
        </w:rPr>
        <w:t>从逐月的水质数据看，2016</w:t>
      </w:r>
      <w:r>
        <w:rPr>
          <w:rFonts w:hint="eastAsia" w:eastAsia="仿宋_GB2312" w:cs="Times New Roman"/>
          <w:sz w:val="32"/>
          <w:szCs w:val="32"/>
        </w:rPr>
        <w:t>—</w:t>
      </w:r>
      <w:r>
        <w:rPr>
          <w:rFonts w:eastAsia="仿宋_GB2312" w:cs="Times New Roman"/>
          <w:sz w:val="32"/>
          <w:szCs w:val="32"/>
        </w:rPr>
        <w:t>2018年水质达标率分别为0%、18.2%、66.7%，断面达标率逐年上升；2019年1</w:t>
      </w:r>
      <w:r>
        <w:rPr>
          <w:rFonts w:hint="eastAsia" w:eastAsia="仿宋_GB2312" w:cs="Times New Roman"/>
          <w:sz w:val="32"/>
          <w:szCs w:val="32"/>
        </w:rPr>
        <w:t>—</w:t>
      </w:r>
      <w:r>
        <w:rPr>
          <w:rFonts w:eastAsia="仿宋_GB2312" w:cs="Times New Roman"/>
          <w:sz w:val="32"/>
          <w:szCs w:val="32"/>
        </w:rPr>
        <w:t>8月水质达标率为25%，断面达标率有所下降。主要污染物浓度逐月变化情况见图5</w:t>
      </w:r>
      <w:r>
        <w:rPr>
          <w:rFonts w:hint="eastAsia" w:eastAsia="仿宋_GB2312" w:cs="Times New Roman"/>
          <w:sz w:val="32"/>
          <w:szCs w:val="32"/>
        </w:rPr>
        <w:t>-</w:t>
      </w:r>
      <w:r>
        <w:rPr>
          <w:rFonts w:eastAsia="仿宋_GB2312" w:cs="Times New Roman"/>
          <w:sz w:val="32"/>
          <w:szCs w:val="32"/>
        </w:rPr>
        <w:t>5至图5</w:t>
      </w:r>
      <w:r>
        <w:rPr>
          <w:rFonts w:hint="eastAsia" w:eastAsia="仿宋_GB2312" w:cs="Times New Roman"/>
          <w:sz w:val="32"/>
          <w:szCs w:val="32"/>
        </w:rPr>
        <w:t>-</w:t>
      </w:r>
      <w:r>
        <w:rPr>
          <w:rFonts w:eastAsia="仿宋_GB2312" w:cs="Times New Roman"/>
          <w:sz w:val="32"/>
          <w:szCs w:val="32"/>
        </w:rPr>
        <w:t>8。</w:t>
      </w:r>
    </w:p>
    <w:p>
      <w:pPr>
        <w:snapToGrid w:val="0"/>
        <w:spacing w:line="240" w:lineRule="auto"/>
        <w:ind w:firstLine="0" w:firstLineChars="0"/>
        <w:jc w:val="center"/>
        <w:rPr>
          <w:rFonts w:eastAsia="仿宋_GB2312" w:cs="Times New Roman"/>
          <w:sz w:val="28"/>
          <w:szCs w:val="21"/>
        </w:rPr>
      </w:pPr>
      <w:r>
        <w:rPr>
          <w:rFonts w:eastAsia="仿宋_GB2312" w:cs="Times New Roman"/>
          <w:sz w:val="28"/>
          <w:szCs w:val="21"/>
        </w:rPr>
        <w:drawing>
          <wp:inline distT="0" distB="0" distL="114300" distR="114300">
            <wp:extent cx="5085080" cy="3234055"/>
            <wp:effectExtent l="0" t="0" r="1270" b="4445"/>
            <wp:docPr id="10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70"/>
                    <pic:cNvPicPr>
                      <a:picLocks noRot="1" noChangeAspect="1"/>
                    </pic:cNvPicPr>
                  </pic:nvPicPr>
                  <pic:blipFill>
                    <a:blip r:embed="rId30"/>
                    <a:stretch>
                      <a:fillRect/>
                    </a:stretch>
                  </pic:blipFill>
                  <pic:spPr>
                    <a:xfrm>
                      <a:off x="0" y="0"/>
                      <a:ext cx="5085080" cy="3234055"/>
                    </a:xfrm>
                    <a:prstGeom prst="rect">
                      <a:avLst/>
                    </a:prstGeom>
                    <a:noFill/>
                    <a:ln w="9525">
                      <a:noFill/>
                    </a:ln>
                  </pic:spPr>
                </pic:pic>
              </a:graphicData>
            </a:graphic>
          </wp:inline>
        </w:drawing>
      </w:r>
    </w:p>
    <w:p>
      <w:pPr>
        <w:snapToGrid w:val="0"/>
        <w:spacing w:before="163" w:beforeLines="50" w:line="240" w:lineRule="auto"/>
        <w:ind w:firstLine="0" w:firstLineChars="0"/>
        <w:jc w:val="center"/>
        <w:rPr>
          <w:rFonts w:eastAsia="仿宋_GB2312" w:cs="Times New Roman"/>
          <w:b/>
        </w:rPr>
      </w:pPr>
      <w:r>
        <w:rPr>
          <w:rFonts w:eastAsia="仿宋_GB2312" w:cs="Times New Roman"/>
          <w:b/>
        </w:rPr>
        <w:t>图5</w:t>
      </w:r>
      <w:r>
        <w:rPr>
          <w:rFonts w:hint="eastAsia" w:eastAsia="仿宋_GB2312" w:cs="Times New Roman"/>
          <w:b/>
        </w:rPr>
        <w:t>-</w:t>
      </w:r>
      <w:r>
        <w:rPr>
          <w:rFonts w:eastAsia="仿宋_GB2312" w:cs="Times New Roman"/>
          <w:b/>
        </w:rPr>
        <w:t>5东大桥断面氨氮浓度逐月变化</w:t>
      </w:r>
    </w:p>
    <w:p>
      <w:pPr>
        <w:snapToGrid w:val="0"/>
        <w:spacing w:line="240" w:lineRule="auto"/>
        <w:ind w:firstLine="0" w:firstLineChars="0"/>
        <w:jc w:val="center"/>
        <w:rPr>
          <w:rFonts w:eastAsia="仿宋_GB2312" w:cs="Times New Roman"/>
          <w:sz w:val="28"/>
          <w:szCs w:val="21"/>
        </w:rPr>
      </w:pPr>
      <w:r>
        <w:rPr>
          <w:rFonts w:eastAsia="仿宋_GB2312" w:cs="Times New Roman"/>
          <w:sz w:val="28"/>
          <w:szCs w:val="21"/>
        </w:rPr>
        <w:drawing>
          <wp:inline distT="0" distB="0" distL="114300" distR="114300">
            <wp:extent cx="4975860" cy="3438525"/>
            <wp:effectExtent l="0" t="0" r="15240" b="9525"/>
            <wp:docPr id="10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71"/>
                    <pic:cNvPicPr>
                      <a:picLocks noRot="1" noChangeAspect="1"/>
                    </pic:cNvPicPr>
                  </pic:nvPicPr>
                  <pic:blipFill>
                    <a:blip r:embed="rId31"/>
                    <a:stretch>
                      <a:fillRect/>
                    </a:stretch>
                  </pic:blipFill>
                  <pic:spPr>
                    <a:xfrm>
                      <a:off x="0" y="0"/>
                      <a:ext cx="4975860" cy="3438525"/>
                    </a:xfrm>
                    <a:prstGeom prst="rect">
                      <a:avLst/>
                    </a:prstGeom>
                    <a:noFill/>
                    <a:ln w="9525">
                      <a:noFill/>
                    </a:ln>
                  </pic:spPr>
                </pic:pic>
              </a:graphicData>
            </a:graphic>
          </wp:inline>
        </w:drawing>
      </w:r>
    </w:p>
    <w:p>
      <w:pPr>
        <w:snapToGrid w:val="0"/>
        <w:spacing w:before="163" w:beforeLines="50" w:after="1304" w:afterLines="400" w:line="240" w:lineRule="auto"/>
        <w:ind w:firstLine="0" w:firstLineChars="0"/>
        <w:jc w:val="center"/>
        <w:rPr>
          <w:rFonts w:eastAsia="仿宋_GB2312" w:cs="Times New Roman"/>
          <w:b/>
        </w:rPr>
      </w:pPr>
      <w:r>
        <w:rPr>
          <w:rFonts w:eastAsia="仿宋_GB2312" w:cs="Times New Roman"/>
          <w:b/>
        </w:rPr>
        <w:t>图5</w:t>
      </w:r>
      <w:r>
        <w:rPr>
          <w:rFonts w:hint="eastAsia" w:eastAsia="仿宋_GB2312" w:cs="Times New Roman"/>
          <w:b/>
        </w:rPr>
        <w:t>-</w:t>
      </w:r>
      <w:r>
        <w:rPr>
          <w:rFonts w:eastAsia="仿宋_GB2312" w:cs="Times New Roman"/>
          <w:b/>
        </w:rPr>
        <w:t>6东大桥断面总磷浓度逐月变化</w:t>
      </w:r>
    </w:p>
    <w:p>
      <w:pPr>
        <w:snapToGrid w:val="0"/>
        <w:spacing w:line="240" w:lineRule="auto"/>
        <w:ind w:firstLine="0" w:firstLineChars="0"/>
        <w:jc w:val="center"/>
        <w:rPr>
          <w:rFonts w:eastAsia="仿宋_GB2312" w:cs="Times New Roman"/>
          <w:b/>
          <w:sz w:val="32"/>
          <w:szCs w:val="32"/>
        </w:rPr>
      </w:pPr>
      <w:r>
        <w:rPr>
          <w:rFonts w:eastAsia="仿宋_GB2312" w:cs="Times New Roman"/>
          <w:b/>
          <w:sz w:val="32"/>
          <w:szCs w:val="32"/>
        </w:rPr>
        <w:drawing>
          <wp:inline distT="0" distB="0" distL="114300" distR="114300">
            <wp:extent cx="4965700" cy="2743200"/>
            <wp:effectExtent l="0" t="0" r="6350" b="0"/>
            <wp:docPr id="10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72"/>
                    <pic:cNvPicPr>
                      <a:picLocks noRot="1" noChangeAspect="1"/>
                    </pic:cNvPicPr>
                  </pic:nvPicPr>
                  <pic:blipFill>
                    <a:blip r:embed="rId32"/>
                    <a:stretch>
                      <a:fillRect/>
                    </a:stretch>
                  </pic:blipFill>
                  <pic:spPr>
                    <a:xfrm>
                      <a:off x="0" y="0"/>
                      <a:ext cx="4965700" cy="2743200"/>
                    </a:xfrm>
                    <a:prstGeom prst="rect">
                      <a:avLst/>
                    </a:prstGeom>
                    <a:noFill/>
                    <a:ln w="9525">
                      <a:noFill/>
                    </a:ln>
                  </pic:spPr>
                </pic:pic>
              </a:graphicData>
            </a:graphic>
          </wp:inline>
        </w:drawing>
      </w:r>
    </w:p>
    <w:p>
      <w:pPr>
        <w:snapToGrid w:val="0"/>
        <w:spacing w:before="163" w:beforeLines="50" w:after="163" w:afterLines="50" w:line="240" w:lineRule="auto"/>
        <w:ind w:firstLine="0" w:firstLineChars="0"/>
        <w:jc w:val="center"/>
        <w:rPr>
          <w:rFonts w:eastAsia="仿宋_GB2312" w:cs="Times New Roman"/>
          <w:b/>
        </w:rPr>
      </w:pPr>
      <w:r>
        <w:rPr>
          <w:rFonts w:eastAsia="仿宋_GB2312" w:cs="Times New Roman"/>
          <w:b/>
        </w:rPr>
        <w:t>图5</w:t>
      </w:r>
      <w:r>
        <w:rPr>
          <w:rFonts w:hint="eastAsia" w:eastAsia="仿宋_GB2312" w:cs="Times New Roman"/>
          <w:b/>
        </w:rPr>
        <w:t>-</w:t>
      </w:r>
      <w:r>
        <w:rPr>
          <w:rFonts w:eastAsia="仿宋_GB2312" w:cs="Times New Roman"/>
          <w:b/>
        </w:rPr>
        <w:t>7东大桥断面化学需氧量浓度逐月变化</w:t>
      </w:r>
    </w:p>
    <w:p>
      <w:pPr>
        <w:snapToGrid w:val="0"/>
        <w:spacing w:line="240" w:lineRule="auto"/>
        <w:ind w:firstLine="0" w:firstLineChars="0"/>
        <w:jc w:val="center"/>
        <w:rPr>
          <w:rFonts w:eastAsia="仿宋_GB2312" w:cs="Times New Roman"/>
          <w:sz w:val="28"/>
          <w:szCs w:val="21"/>
        </w:rPr>
      </w:pPr>
      <w:r>
        <w:rPr>
          <w:rFonts w:eastAsia="仿宋_GB2312" w:cs="Times New Roman"/>
          <w:sz w:val="28"/>
          <w:szCs w:val="21"/>
        </w:rPr>
        <w:drawing>
          <wp:inline distT="0" distB="0" distL="114300" distR="114300">
            <wp:extent cx="5004435" cy="2758440"/>
            <wp:effectExtent l="0" t="0" r="5715" b="3810"/>
            <wp:docPr id="10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73"/>
                    <pic:cNvPicPr>
                      <a:picLocks noRot="1" noChangeAspect="1"/>
                    </pic:cNvPicPr>
                  </pic:nvPicPr>
                  <pic:blipFill>
                    <a:blip r:embed="rId33"/>
                    <a:stretch>
                      <a:fillRect/>
                    </a:stretch>
                  </pic:blipFill>
                  <pic:spPr>
                    <a:xfrm>
                      <a:off x="0" y="0"/>
                      <a:ext cx="5004435" cy="2758440"/>
                    </a:xfrm>
                    <a:prstGeom prst="rect">
                      <a:avLst/>
                    </a:prstGeom>
                    <a:noFill/>
                    <a:ln w="9525">
                      <a:noFill/>
                    </a:ln>
                  </pic:spPr>
                </pic:pic>
              </a:graphicData>
            </a:graphic>
          </wp:inline>
        </w:drawing>
      </w:r>
    </w:p>
    <w:p>
      <w:pPr>
        <w:snapToGrid w:val="0"/>
        <w:spacing w:before="163" w:beforeLines="50" w:line="240" w:lineRule="auto"/>
        <w:ind w:firstLine="0" w:firstLineChars="0"/>
        <w:jc w:val="center"/>
        <w:rPr>
          <w:rFonts w:eastAsia="仿宋_GB2312" w:cs="Times New Roman"/>
          <w:b/>
          <w:sz w:val="32"/>
          <w:szCs w:val="32"/>
        </w:rPr>
      </w:pPr>
      <w:r>
        <w:rPr>
          <w:rFonts w:eastAsia="仿宋_GB2312" w:cs="Times New Roman"/>
          <w:b/>
        </w:rPr>
        <w:t>图5</w:t>
      </w:r>
      <w:r>
        <w:rPr>
          <w:rFonts w:hint="eastAsia" w:eastAsia="仿宋_GB2312" w:cs="Times New Roman"/>
          <w:b/>
        </w:rPr>
        <w:t>-</w:t>
      </w:r>
      <w:r>
        <w:rPr>
          <w:rFonts w:eastAsia="仿宋_GB2312" w:cs="Times New Roman"/>
          <w:b/>
        </w:rPr>
        <w:t>8东大桥断面高锰酸盐指数浓度逐月变化</w:t>
      </w:r>
    </w:p>
    <w:p>
      <w:pPr>
        <w:spacing w:line="584" w:lineRule="exact"/>
        <w:ind w:firstLine="640"/>
        <w:rPr>
          <w:rFonts w:eastAsia="仿宋_GB2312" w:cs="Times New Roman"/>
          <w:sz w:val="32"/>
          <w:szCs w:val="32"/>
        </w:rPr>
      </w:pPr>
      <w:r>
        <w:rPr>
          <w:rFonts w:hint="eastAsia" w:cs="Times New Roman"/>
          <w:sz w:val="32"/>
          <w:szCs w:val="32"/>
        </w:rPr>
        <w:t>（2）</w:t>
      </w:r>
      <w:r>
        <w:rPr>
          <w:rFonts w:eastAsia="仿宋_GB2312" w:cs="Times New Roman"/>
          <w:sz w:val="32"/>
          <w:szCs w:val="32"/>
        </w:rPr>
        <w:t>廊坊市考核断面夏口闸断面水质形势变化</w:t>
      </w:r>
    </w:p>
    <w:p>
      <w:pPr>
        <w:spacing w:line="584" w:lineRule="exact"/>
        <w:ind w:firstLine="640"/>
        <w:rPr>
          <w:rFonts w:eastAsia="仿宋_GB2312" w:cs="Times New Roman"/>
          <w:sz w:val="32"/>
          <w:szCs w:val="32"/>
        </w:rPr>
        <w:sectPr>
          <w:headerReference r:id="rId5" w:type="first"/>
          <w:footerReference r:id="rId8" w:type="first"/>
          <w:headerReference r:id="rId3" w:type="default"/>
          <w:footerReference r:id="rId6" w:type="default"/>
          <w:headerReference r:id="rId4" w:type="even"/>
          <w:footerReference r:id="rId7" w:type="even"/>
          <w:pgSz w:w="11906" w:h="16838"/>
          <w:pgMar w:top="2098" w:right="1531" w:bottom="1474" w:left="1531" w:header="851" w:footer="851" w:gutter="0"/>
          <w:pgNumType w:start="1"/>
          <w:cols w:space="720" w:num="1"/>
          <w:docGrid w:type="lines" w:linePitch="326" w:charSpace="0"/>
        </w:sectPr>
      </w:pPr>
      <w:r>
        <w:rPr>
          <w:rFonts w:eastAsia="仿宋_GB2312" w:cs="Times New Roman"/>
          <w:sz w:val="32"/>
          <w:szCs w:val="32"/>
        </w:rPr>
        <w:t>夏口闸断面位于红娘港一支入</w:t>
      </w:r>
      <w:r>
        <w:rPr>
          <w:rFonts w:eastAsia="仿宋" w:cs="Times New Roman"/>
          <w:sz w:val="32"/>
          <w:szCs w:val="32"/>
        </w:rPr>
        <w:t>泃</w:t>
      </w:r>
      <w:r>
        <w:rPr>
          <w:rFonts w:eastAsia="仿宋_GB2312" w:cs="Times New Roman"/>
          <w:sz w:val="32"/>
          <w:szCs w:val="32"/>
        </w:rPr>
        <w:t>河口处，以2017年1月</w:t>
      </w:r>
      <w:r>
        <w:rPr>
          <w:rFonts w:hint="eastAsia" w:eastAsia="仿宋_GB2312" w:cs="Times New Roman"/>
          <w:sz w:val="32"/>
          <w:szCs w:val="32"/>
        </w:rPr>
        <w:t>—</w:t>
      </w:r>
      <w:r>
        <w:rPr>
          <w:rFonts w:eastAsia="仿宋_GB2312" w:cs="Times New Roman"/>
          <w:sz w:val="32"/>
          <w:szCs w:val="32"/>
        </w:rPr>
        <w:t>2018年12月共24个月的水质监测数据作为分析依据，其监测及评价结果详见表5</w:t>
      </w:r>
      <w:r>
        <w:rPr>
          <w:rFonts w:hint="eastAsia" w:eastAsia="仿宋_GB2312" w:cs="Times New Roman"/>
          <w:sz w:val="32"/>
          <w:szCs w:val="32"/>
        </w:rPr>
        <w:t>-</w:t>
      </w:r>
      <w:r>
        <w:rPr>
          <w:rFonts w:eastAsia="仿宋_GB2312" w:cs="Times New Roman"/>
          <w:sz w:val="32"/>
          <w:szCs w:val="32"/>
        </w:rPr>
        <w:t>2。</w:t>
      </w:r>
    </w:p>
    <w:p>
      <w:pPr>
        <w:ind w:firstLine="0" w:firstLineChars="0"/>
        <w:jc w:val="center"/>
        <w:rPr>
          <w:rFonts w:eastAsia="黑体" w:cs="Times New Roman"/>
          <w:sz w:val="28"/>
          <w:szCs w:val="28"/>
        </w:rPr>
      </w:pPr>
      <w:r>
        <w:rPr>
          <w:rFonts w:eastAsia="黑体" w:cs="Times New Roman"/>
          <w:sz w:val="28"/>
          <w:szCs w:val="28"/>
        </w:rPr>
        <w:t>表5</w:t>
      </w:r>
      <w:r>
        <w:rPr>
          <w:rFonts w:hint="eastAsia" w:eastAsia="仿宋_GB2312" w:cs="Times New Roman"/>
          <w:sz w:val="32"/>
          <w:szCs w:val="32"/>
        </w:rPr>
        <w:t>-</w:t>
      </w:r>
      <w:r>
        <w:rPr>
          <w:rFonts w:eastAsia="黑体" w:cs="Times New Roman"/>
          <w:sz w:val="28"/>
          <w:szCs w:val="28"/>
        </w:rPr>
        <w:t>2  2017</w:t>
      </w:r>
      <w:r>
        <w:rPr>
          <w:rFonts w:hint="eastAsia" w:eastAsia="仿宋_GB2312" w:cs="Times New Roman"/>
          <w:sz w:val="32"/>
          <w:szCs w:val="32"/>
        </w:rPr>
        <w:t>—</w:t>
      </w:r>
      <w:r>
        <w:rPr>
          <w:rFonts w:eastAsia="黑体" w:cs="Times New Roman"/>
          <w:sz w:val="28"/>
          <w:szCs w:val="28"/>
        </w:rPr>
        <w:t>2018年红娘港一支夏口闸断面水质监测结果一览表</w:t>
      </w:r>
    </w:p>
    <w:tbl>
      <w:tblPr>
        <w:tblStyle w:val="13"/>
        <w:tblW w:w="8778" w:type="dxa"/>
        <w:jc w:val="center"/>
        <w:tblInd w:w="-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
      <w:tblGrid>
        <w:gridCol w:w="569"/>
        <w:gridCol w:w="406"/>
        <w:gridCol w:w="854"/>
        <w:gridCol w:w="854"/>
        <w:gridCol w:w="868"/>
        <w:gridCol w:w="882"/>
        <w:gridCol w:w="840"/>
        <w:gridCol w:w="839"/>
        <w:gridCol w:w="616"/>
        <w:gridCol w:w="20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 w:hRule="atLeast"/>
          <w:tblHeader/>
          <w:jc w:val="center"/>
        </w:trPr>
        <w:tc>
          <w:tcPr>
            <w:tcW w:w="569" w:type="dxa"/>
            <w:vAlign w:val="center"/>
          </w:tcPr>
          <w:p>
            <w:pPr>
              <w:widowControl/>
              <w:adjustRightInd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年</w:t>
            </w:r>
          </w:p>
        </w:tc>
        <w:tc>
          <w:tcPr>
            <w:tcW w:w="406" w:type="dxa"/>
            <w:vAlign w:val="center"/>
          </w:tcPr>
          <w:p>
            <w:pPr>
              <w:widowControl/>
              <w:adjustRightInd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月</w:t>
            </w:r>
          </w:p>
        </w:tc>
        <w:tc>
          <w:tcPr>
            <w:tcW w:w="854" w:type="dxa"/>
            <w:vAlign w:val="center"/>
          </w:tcPr>
          <w:p>
            <w:pPr>
              <w:widowControl/>
              <w:adjustRightInd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溶解氧（mg/L）</w:t>
            </w:r>
          </w:p>
        </w:tc>
        <w:tc>
          <w:tcPr>
            <w:tcW w:w="854" w:type="dxa"/>
            <w:vAlign w:val="center"/>
          </w:tcPr>
          <w:p>
            <w:pPr>
              <w:widowControl/>
              <w:adjustRightInd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CODmn（mg/L）</w:t>
            </w:r>
          </w:p>
        </w:tc>
        <w:tc>
          <w:tcPr>
            <w:tcW w:w="868" w:type="dxa"/>
            <w:vAlign w:val="center"/>
          </w:tcPr>
          <w:p>
            <w:pPr>
              <w:widowControl/>
              <w:adjustRightInd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BOD</w:t>
            </w:r>
            <w:r>
              <w:rPr>
                <w:rFonts w:eastAsia="仿宋_GB2312" w:cs="Times New Roman"/>
                <w:b/>
                <w:color w:val="000000"/>
                <w:kern w:val="0"/>
                <w:sz w:val="21"/>
                <w:szCs w:val="21"/>
                <w:vertAlign w:val="subscript"/>
              </w:rPr>
              <w:t>5</w:t>
            </w:r>
            <w:r>
              <w:rPr>
                <w:rFonts w:eastAsia="仿宋_GB2312" w:cs="Times New Roman"/>
                <w:b/>
                <w:color w:val="000000"/>
                <w:kern w:val="0"/>
                <w:sz w:val="21"/>
                <w:szCs w:val="21"/>
              </w:rPr>
              <w:t>（mg/L）</w:t>
            </w:r>
          </w:p>
        </w:tc>
        <w:tc>
          <w:tcPr>
            <w:tcW w:w="882" w:type="dxa"/>
            <w:vAlign w:val="center"/>
          </w:tcPr>
          <w:p>
            <w:pPr>
              <w:widowControl/>
              <w:adjustRightInd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氨氮（mg/L）</w:t>
            </w:r>
          </w:p>
        </w:tc>
        <w:tc>
          <w:tcPr>
            <w:tcW w:w="840" w:type="dxa"/>
            <w:vAlign w:val="center"/>
          </w:tcPr>
          <w:p>
            <w:pPr>
              <w:widowControl/>
              <w:adjustRightInd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CODcr（mg/L）</w:t>
            </w:r>
          </w:p>
        </w:tc>
        <w:tc>
          <w:tcPr>
            <w:tcW w:w="839" w:type="dxa"/>
            <w:vAlign w:val="center"/>
          </w:tcPr>
          <w:p>
            <w:pPr>
              <w:widowControl/>
              <w:adjustRightInd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总磷（mg/L）</w:t>
            </w:r>
          </w:p>
        </w:tc>
        <w:tc>
          <w:tcPr>
            <w:tcW w:w="616" w:type="dxa"/>
            <w:vAlign w:val="center"/>
          </w:tcPr>
          <w:p>
            <w:pPr>
              <w:widowControl/>
              <w:adjustRightInd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水质类别</w:t>
            </w:r>
          </w:p>
        </w:tc>
        <w:tc>
          <w:tcPr>
            <w:tcW w:w="2050" w:type="dxa"/>
            <w:vAlign w:val="center"/>
          </w:tcPr>
          <w:p>
            <w:pPr>
              <w:widowControl/>
              <w:adjustRightInd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超标因子和倍数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1.56</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12.2</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14.3</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17.35</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43.7</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1.820</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7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溶解氧、生化需氧量（0.4）、氨氮（7.7）、化学需氧量（0.1）、总磷（3.6）、阴离子表面活性剂（3.3）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0.99</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18.9</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25.3</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22.15</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64.3</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3.030</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7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溶解氧、高锰酸盐指数（0.3）、生化需氧量（1.5）、氨氮（10.1）、化学需氧量（0.6）、总磷（6.6）、阴离子表面活性剂（2.6）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3.17</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15.2</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23.6</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21.80</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68.2</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1.935</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7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高锰酸盐指数（0.01）、生化需氧量（1.4）、氨氮（9.9）、化学需氧量（0.7）、总磷（3.8）、阴离子表面活性剂（1）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1.86</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13.1</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21.7</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27.40</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64.5</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2.460</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7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溶解氧、生化需氧量（1.2）、氨氮（12.7）、化学需氧量（0.6）、总磷（5.2）、阴离子表面活性剂（0.6）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0.10</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8.9</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11.2</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12.16</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38.5</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1.940</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7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溶解氧、生化需氧量（0.1）、氨氮（5.1）、总磷（3.9）、阴离子表面活性剂（0.5）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1.29</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9.6</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8.4</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4.08</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31.5</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1.360</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7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溶解氧、氨氮（1）、总磷（2.4）、阴离子表面活性剂（0.9）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0.10</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8.2</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10.0</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10.65</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29.0</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2.095</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7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溶解氧、氨氮（4.3）、总磷（4.2）、阴离子表面活性剂（0.1）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0.37</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9.2</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10.3</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7.40</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30.5</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1.830</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7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溶解氧、生化需氧量（0.03）、氨氮（2.7）、总磷（3.6）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0.77</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16.1</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21.9</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17.75</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64.5</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1.955</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7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溶解氧、高锰酸盐指数（0.1）、生化需氧量（1.2）、氨氮（7.9）、化学需氧量（0.6）、总磷（3.9）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0"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0.10</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11.8</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15.0</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14.35</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43.5</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1.086</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4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溶解氧、生化需氧量（0.5）、氨氮（6.2）、化学需氧量（0.1）、总磷（1.7）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472"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年均</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1.03</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12.3</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16.1</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15.51</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47.8</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1.951</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8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溶解氧、生化需氧量（0.6）、氨氮（6.8）、化学需氧量（0.2）、总磷（3.9）、阴离子表面活性剂（0.8）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499"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1.61</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18.1</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26.3</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18.00</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68.0</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1.765</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8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溶解氧、高锰酸盐指数（0.2）、生化需氧量（1.6）、氨氮（8）、化学需氧量（0.7）、总磷（3.4）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289"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2.99</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17.1</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25.3</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20.90</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77.5</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2.060</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8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高锰酸盐指数（0.1）、生化需氧量（1.5）、氨氮（9.5）、化学需氧量（0.9）、总磷（4.2）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443"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1.38</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16.0</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26.2</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19.95</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92.5</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2.730</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8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溶解氧、高锰酸盐指数（0.1）、生化需氧量（1.6）、氨氮（9）、化学需氧量（1.3）、总磷（5.8）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632"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4.00</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9.8</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12.9</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18.05</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37.5</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1.915</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8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生化需氧量（0.3）、氨氮（8）、总磷（3.8）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590"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0.41</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5.4</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7.7</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11.92</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32.5</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1.109</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8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溶解氧、氨氮（5）、总磷（1.8）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968"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2.40</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8.1</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10.3</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3.81</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48.0</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0.625</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8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生化需氧量（0.03）、氨氮（0.9）、化学需氧量（0.2）、总磷（0.6）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660"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9.20</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10.2</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8.4</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5.86</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41.0</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0.812</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8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氨氮（1.9）、化学需氧量（0.02）、总磷（1）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618"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0.62</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10.1</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9.2</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7.38</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34.0</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1.080</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8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溶解氧、氨氮（2.7）、总磷（1.7）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898"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0.99</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7.4</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11.0</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10.67</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35.5</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0.993</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8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溶解氧、生化需氧量（0.1）、氨氮（4.3）、总磷（1.5）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1191"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12</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0.40</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7.8</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17.7</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15.15</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60.5</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1.645</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8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溶解氧、生化需氧量（0.8）、氨氮（6.6）、化学需氧量（0.5）、总磷（3.1）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7" w:type="dxa"/>
            <w:bottom w:w="0" w:type="dxa"/>
            <w:right w:w="17" w:type="dxa"/>
          </w:tblCellMar>
        </w:tblPrEx>
        <w:trPr>
          <w:trHeight w:val="298" w:hRule="atLeast"/>
          <w:jc w:val="center"/>
        </w:trPr>
        <w:tc>
          <w:tcPr>
            <w:tcW w:w="56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40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年均</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2.49</w:t>
            </w:r>
          </w:p>
        </w:tc>
        <w:tc>
          <w:tcPr>
            <w:tcW w:w="854"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11.0</w:t>
            </w:r>
          </w:p>
        </w:tc>
        <w:tc>
          <w:tcPr>
            <w:tcW w:w="868"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15.8</w:t>
            </w:r>
          </w:p>
        </w:tc>
        <w:tc>
          <w:tcPr>
            <w:tcW w:w="882"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13.47</w:t>
            </w:r>
          </w:p>
        </w:tc>
        <w:tc>
          <w:tcPr>
            <w:tcW w:w="840"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53.7</w:t>
            </w:r>
          </w:p>
        </w:tc>
        <w:tc>
          <w:tcPr>
            <w:tcW w:w="839"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1.494</w:t>
            </w:r>
          </w:p>
        </w:tc>
        <w:tc>
          <w:tcPr>
            <w:tcW w:w="616" w:type="dxa"/>
            <w:vAlign w:val="center"/>
          </w:tcPr>
          <w:p>
            <w:pPr>
              <w:widowControl/>
              <w:adjustRightInd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劣</w:t>
            </w:r>
            <w:r>
              <w:rPr>
                <w:rFonts w:cs="Times New Roman"/>
                <w:color w:val="000000"/>
                <w:kern w:val="0"/>
                <w:sz w:val="21"/>
                <w:szCs w:val="21"/>
              </w:rPr>
              <w:t>Ⅴ</w:t>
            </w:r>
          </w:p>
        </w:tc>
        <w:tc>
          <w:tcPr>
            <w:tcW w:w="2050" w:type="dxa"/>
            <w:vAlign w:val="center"/>
          </w:tcPr>
          <w:p>
            <w:pPr>
              <w:widowControl/>
              <w:adjustRightInd w:val="0"/>
              <w:snapToGrid w:val="0"/>
              <w:spacing w:line="28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生化需氧量（0.6）、氨氮（5.7）、化学需氧量（0.3）、总磷（2.7）</w:t>
            </w:r>
          </w:p>
        </w:tc>
      </w:tr>
    </w:tbl>
    <w:p>
      <w:pPr>
        <w:ind w:firstLine="480"/>
        <w:rPr>
          <w:rFonts w:eastAsia="仿宋_GB2312" w:cs="Times New Roman"/>
        </w:rPr>
        <w:sectPr>
          <w:pgSz w:w="11906" w:h="16838"/>
          <w:pgMar w:top="1985" w:right="1531" w:bottom="1985" w:left="1531" w:header="851" w:footer="1418" w:gutter="0"/>
          <w:cols w:space="720" w:num="1"/>
          <w:docGrid w:type="lines" w:linePitch="326" w:charSpace="0"/>
        </w:sectPr>
      </w:pPr>
    </w:p>
    <w:p>
      <w:pPr>
        <w:spacing w:after="163" w:afterLines="50" w:line="584" w:lineRule="exact"/>
        <w:ind w:firstLine="640"/>
        <w:rPr>
          <w:rFonts w:eastAsia="仿宋_GB2312" w:cs="Times New Roman"/>
          <w:sz w:val="32"/>
          <w:szCs w:val="32"/>
        </w:rPr>
      </w:pPr>
      <w:r>
        <w:rPr>
          <w:rFonts w:eastAsia="仿宋_GB2312" w:cs="Times New Roman"/>
          <w:sz w:val="32"/>
          <w:szCs w:val="32"/>
        </w:rPr>
        <w:t>由上表可知，2017</w:t>
      </w:r>
      <w:r>
        <w:rPr>
          <w:rFonts w:hint="eastAsia" w:eastAsia="仿宋_GB2312" w:cs="Times New Roman"/>
          <w:sz w:val="32"/>
          <w:szCs w:val="32"/>
        </w:rPr>
        <w:t>—</w:t>
      </w:r>
      <w:r>
        <w:rPr>
          <w:rFonts w:eastAsia="仿宋_GB2312" w:cs="Times New Roman"/>
          <w:sz w:val="32"/>
          <w:szCs w:val="32"/>
        </w:rPr>
        <w:t>2018年红娘港一支夏口闸断面水质类别均为劣</w:t>
      </w:r>
      <w:r>
        <w:rPr>
          <w:rFonts w:cs="Times New Roman"/>
          <w:sz w:val="32"/>
          <w:szCs w:val="32"/>
        </w:rPr>
        <w:t>Ⅴ</w:t>
      </w:r>
      <w:r>
        <w:rPr>
          <w:rFonts w:eastAsia="仿宋_GB2312" w:cs="Times New Roman"/>
          <w:sz w:val="32"/>
          <w:szCs w:val="32"/>
        </w:rPr>
        <w:t>类，主要超标因子（超</w:t>
      </w:r>
      <w:r>
        <w:rPr>
          <w:rFonts w:cs="Times New Roman"/>
          <w:sz w:val="32"/>
          <w:szCs w:val="32"/>
        </w:rPr>
        <w:t>Ⅴ</w:t>
      </w:r>
      <w:r>
        <w:rPr>
          <w:rFonts w:eastAsia="仿宋_GB2312" w:cs="Times New Roman"/>
          <w:sz w:val="32"/>
          <w:szCs w:val="32"/>
        </w:rPr>
        <w:t>类）为氨氮、总磷、溶解氧、生化需氧量、化学需氧量，超标频率分别为100%、100%、75%、75%、60%。从具体水质指标来看，2018年总磷、氨氮、高锰酸盐指数、生化需氧量年均浓度较2017年呈下降趋势，分别降低23.4%、13.1%、10.3%、2%;化学需氧量年均浓度呈上升趋势，同比升高12.3%。上述五种超标污染物污染物逐月浓度变化情况见图5</w:t>
      </w:r>
      <w:r>
        <w:rPr>
          <w:rFonts w:hint="eastAsia" w:eastAsia="仿宋_GB2312" w:cs="Times New Roman"/>
          <w:sz w:val="32"/>
          <w:szCs w:val="32"/>
        </w:rPr>
        <w:t>-</w:t>
      </w:r>
      <w:r>
        <w:rPr>
          <w:rFonts w:eastAsia="仿宋_GB2312" w:cs="Times New Roman"/>
          <w:sz w:val="32"/>
          <w:szCs w:val="32"/>
        </w:rPr>
        <w:t>9至图5</w:t>
      </w:r>
      <w:r>
        <w:rPr>
          <w:rFonts w:hint="eastAsia" w:eastAsia="仿宋_GB2312" w:cs="Times New Roman"/>
          <w:sz w:val="32"/>
          <w:szCs w:val="32"/>
        </w:rPr>
        <w:t>-</w:t>
      </w:r>
      <w:r>
        <w:rPr>
          <w:rFonts w:eastAsia="仿宋_GB2312" w:cs="Times New Roman"/>
          <w:sz w:val="32"/>
          <w:szCs w:val="32"/>
        </w:rPr>
        <w:t>13。</w:t>
      </w:r>
    </w:p>
    <w:p>
      <w:pPr>
        <w:snapToGrid w:val="0"/>
        <w:spacing w:line="240" w:lineRule="auto"/>
        <w:ind w:firstLine="0" w:firstLineChars="0"/>
        <w:jc w:val="center"/>
        <w:rPr>
          <w:rFonts w:eastAsia="仿宋_GB2312" w:cs="Times New Roman"/>
        </w:rPr>
      </w:pPr>
      <w:r>
        <w:rPr>
          <w:rFonts w:cs="Times New Roman"/>
        </w:rPr>
        <w:drawing>
          <wp:inline distT="0" distB="0" distL="114300" distR="114300">
            <wp:extent cx="5226685" cy="2372995"/>
            <wp:effectExtent l="0" t="0" r="12065" b="8255"/>
            <wp:docPr id="10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74"/>
                    <pic:cNvPicPr>
                      <a:picLocks noChangeAspect="1"/>
                    </pic:cNvPicPr>
                  </pic:nvPicPr>
                  <pic:blipFill>
                    <a:blip r:embed="rId34"/>
                    <a:stretch>
                      <a:fillRect/>
                    </a:stretch>
                  </pic:blipFill>
                  <pic:spPr>
                    <a:xfrm>
                      <a:off x="0" y="0"/>
                      <a:ext cx="5226685" cy="2372995"/>
                    </a:xfrm>
                    <a:prstGeom prst="rect">
                      <a:avLst/>
                    </a:prstGeom>
                    <a:noFill/>
                    <a:ln w="9525">
                      <a:noFill/>
                    </a:ln>
                  </pic:spPr>
                </pic:pic>
              </a:graphicData>
            </a:graphic>
          </wp:inline>
        </w:drawing>
      </w:r>
    </w:p>
    <w:p>
      <w:pPr>
        <w:snapToGrid w:val="0"/>
        <w:spacing w:before="163" w:beforeLines="50" w:after="163" w:afterLines="50" w:line="240" w:lineRule="auto"/>
        <w:ind w:firstLine="0" w:firstLineChars="0"/>
        <w:jc w:val="center"/>
        <w:rPr>
          <w:rFonts w:eastAsia="仿宋_GB2312" w:cs="Times New Roman"/>
          <w:b/>
        </w:rPr>
      </w:pPr>
      <w:r>
        <w:rPr>
          <w:rFonts w:eastAsia="仿宋_GB2312" w:cs="Times New Roman"/>
          <w:b/>
        </w:rPr>
        <w:t>图5</w:t>
      </w:r>
      <w:r>
        <w:rPr>
          <w:rFonts w:hint="eastAsia" w:eastAsia="仿宋_GB2312" w:cs="Times New Roman"/>
          <w:b/>
        </w:rPr>
        <w:t>-</w:t>
      </w:r>
      <w:r>
        <w:rPr>
          <w:rFonts w:eastAsia="仿宋_GB2312" w:cs="Times New Roman"/>
          <w:b/>
        </w:rPr>
        <w:t>9夏口闸断面氨氮浓度逐月变化</w:t>
      </w:r>
    </w:p>
    <w:p>
      <w:pPr>
        <w:snapToGrid w:val="0"/>
        <w:spacing w:line="240" w:lineRule="auto"/>
        <w:ind w:firstLine="0" w:firstLineChars="0"/>
        <w:jc w:val="center"/>
        <w:rPr>
          <w:rFonts w:eastAsia="仿宋_GB2312" w:cs="Times New Roman"/>
        </w:rPr>
      </w:pPr>
      <w:r>
        <w:rPr>
          <w:rFonts w:cs="Times New Roman"/>
        </w:rPr>
        <w:drawing>
          <wp:inline distT="0" distB="0" distL="114300" distR="114300">
            <wp:extent cx="5226685" cy="2183130"/>
            <wp:effectExtent l="0" t="0" r="12065" b="7620"/>
            <wp:docPr id="10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75"/>
                    <pic:cNvPicPr>
                      <a:picLocks noChangeAspect="1"/>
                    </pic:cNvPicPr>
                  </pic:nvPicPr>
                  <pic:blipFill>
                    <a:blip r:embed="rId35"/>
                    <a:stretch>
                      <a:fillRect/>
                    </a:stretch>
                  </pic:blipFill>
                  <pic:spPr>
                    <a:xfrm>
                      <a:off x="0" y="0"/>
                      <a:ext cx="5226685" cy="2183130"/>
                    </a:xfrm>
                    <a:prstGeom prst="rect">
                      <a:avLst/>
                    </a:prstGeom>
                    <a:noFill/>
                    <a:ln w="9525">
                      <a:noFill/>
                    </a:ln>
                  </pic:spPr>
                </pic:pic>
              </a:graphicData>
            </a:graphic>
          </wp:inline>
        </w:drawing>
      </w:r>
    </w:p>
    <w:p>
      <w:pPr>
        <w:snapToGrid w:val="0"/>
        <w:spacing w:before="163" w:beforeLines="50" w:after="163" w:afterLines="50" w:line="240" w:lineRule="auto"/>
        <w:ind w:firstLine="0" w:firstLineChars="0"/>
        <w:jc w:val="center"/>
        <w:rPr>
          <w:rFonts w:eastAsia="仿宋_GB2312" w:cs="Times New Roman"/>
          <w:b/>
        </w:rPr>
      </w:pPr>
      <w:r>
        <w:rPr>
          <w:rFonts w:eastAsia="仿宋_GB2312" w:cs="Times New Roman"/>
          <w:b/>
        </w:rPr>
        <w:t>图5</w:t>
      </w:r>
      <w:r>
        <w:rPr>
          <w:rFonts w:hint="eastAsia" w:eastAsia="仿宋_GB2312" w:cs="Times New Roman"/>
          <w:b/>
        </w:rPr>
        <w:t>-</w:t>
      </w:r>
      <w:r>
        <w:rPr>
          <w:rFonts w:eastAsia="仿宋_GB2312" w:cs="Times New Roman"/>
          <w:b/>
        </w:rPr>
        <w:t>10夏口闸断面总磷浓度逐月变化</w:t>
      </w:r>
    </w:p>
    <w:p>
      <w:pPr>
        <w:snapToGrid w:val="0"/>
        <w:spacing w:line="240" w:lineRule="auto"/>
        <w:ind w:firstLine="199" w:firstLineChars="83"/>
        <w:jc w:val="center"/>
        <w:rPr>
          <w:rFonts w:eastAsia="仿宋_GB2312" w:cs="Times New Roman"/>
        </w:rPr>
      </w:pPr>
      <w:r>
        <w:rPr>
          <w:rFonts w:cs="Times New Roman"/>
        </w:rPr>
        <w:drawing>
          <wp:inline distT="0" distB="0" distL="114300" distR="114300">
            <wp:extent cx="5226685" cy="2341245"/>
            <wp:effectExtent l="0" t="0" r="12065" b="1905"/>
            <wp:docPr id="11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76"/>
                    <pic:cNvPicPr>
                      <a:picLocks noChangeAspect="1"/>
                    </pic:cNvPicPr>
                  </pic:nvPicPr>
                  <pic:blipFill>
                    <a:blip r:embed="rId36"/>
                    <a:stretch>
                      <a:fillRect/>
                    </a:stretch>
                  </pic:blipFill>
                  <pic:spPr>
                    <a:xfrm>
                      <a:off x="0" y="0"/>
                      <a:ext cx="5226685" cy="2341245"/>
                    </a:xfrm>
                    <a:prstGeom prst="rect">
                      <a:avLst/>
                    </a:prstGeom>
                    <a:noFill/>
                    <a:ln w="9525">
                      <a:noFill/>
                    </a:ln>
                  </pic:spPr>
                </pic:pic>
              </a:graphicData>
            </a:graphic>
          </wp:inline>
        </w:drawing>
      </w:r>
    </w:p>
    <w:p>
      <w:pPr>
        <w:snapToGrid w:val="0"/>
        <w:spacing w:before="97" w:beforeLines="30" w:after="97" w:afterLines="30" w:line="240" w:lineRule="auto"/>
        <w:ind w:firstLineChars="83"/>
        <w:jc w:val="center"/>
        <w:rPr>
          <w:rFonts w:eastAsia="仿宋_GB2312" w:cs="Times New Roman"/>
          <w:b/>
        </w:rPr>
      </w:pPr>
      <w:r>
        <w:rPr>
          <w:rFonts w:eastAsia="仿宋_GB2312" w:cs="Times New Roman"/>
          <w:b/>
        </w:rPr>
        <w:t>图5</w:t>
      </w:r>
      <w:r>
        <w:rPr>
          <w:rFonts w:hint="eastAsia" w:eastAsia="仿宋_GB2312" w:cs="Times New Roman"/>
          <w:b/>
        </w:rPr>
        <w:t>-</w:t>
      </w:r>
      <w:r>
        <w:rPr>
          <w:rFonts w:eastAsia="仿宋_GB2312" w:cs="Times New Roman"/>
          <w:b/>
        </w:rPr>
        <w:t>11夏口闸断面溶解氧浓度逐月变化</w:t>
      </w:r>
    </w:p>
    <w:p>
      <w:pPr>
        <w:snapToGrid w:val="0"/>
        <w:spacing w:line="240" w:lineRule="auto"/>
        <w:ind w:firstLine="199" w:firstLineChars="83"/>
        <w:jc w:val="center"/>
        <w:rPr>
          <w:rFonts w:eastAsia="仿宋_GB2312" w:cs="Times New Roman"/>
        </w:rPr>
      </w:pPr>
      <w:r>
        <w:rPr>
          <w:rFonts w:cs="Times New Roman"/>
        </w:rPr>
        <w:drawing>
          <wp:inline distT="0" distB="0" distL="114300" distR="114300">
            <wp:extent cx="5226685" cy="2329815"/>
            <wp:effectExtent l="0" t="0" r="12065" b="13335"/>
            <wp:docPr id="111"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7"/>
                    <pic:cNvPicPr>
                      <a:picLocks noChangeAspect="1"/>
                    </pic:cNvPicPr>
                  </pic:nvPicPr>
                  <pic:blipFill>
                    <a:blip r:embed="rId37"/>
                    <a:stretch>
                      <a:fillRect/>
                    </a:stretch>
                  </pic:blipFill>
                  <pic:spPr>
                    <a:xfrm>
                      <a:off x="0" y="0"/>
                      <a:ext cx="5226685" cy="2329815"/>
                    </a:xfrm>
                    <a:prstGeom prst="rect">
                      <a:avLst/>
                    </a:prstGeom>
                    <a:noFill/>
                    <a:ln w="9525">
                      <a:noFill/>
                    </a:ln>
                  </pic:spPr>
                </pic:pic>
              </a:graphicData>
            </a:graphic>
          </wp:inline>
        </w:drawing>
      </w:r>
    </w:p>
    <w:p>
      <w:pPr>
        <w:snapToGrid w:val="0"/>
        <w:spacing w:before="97" w:beforeLines="30" w:after="97" w:afterLines="30" w:line="240" w:lineRule="auto"/>
        <w:ind w:firstLineChars="83"/>
        <w:jc w:val="center"/>
        <w:rPr>
          <w:rFonts w:eastAsia="仿宋_GB2312" w:cs="Times New Roman"/>
          <w:b/>
        </w:rPr>
      </w:pPr>
      <w:r>
        <w:rPr>
          <w:rFonts w:eastAsia="仿宋_GB2312" w:cs="Times New Roman"/>
          <w:b/>
        </w:rPr>
        <w:t>图5</w:t>
      </w:r>
      <w:r>
        <w:rPr>
          <w:rFonts w:hint="eastAsia" w:eastAsia="仿宋_GB2312" w:cs="Times New Roman"/>
          <w:b/>
        </w:rPr>
        <w:t>-</w:t>
      </w:r>
      <w:r>
        <w:rPr>
          <w:rFonts w:eastAsia="仿宋_GB2312" w:cs="Times New Roman"/>
          <w:b/>
        </w:rPr>
        <w:t>12夏口闸断面生化需氧量浓度逐月变化</w:t>
      </w:r>
    </w:p>
    <w:p>
      <w:pPr>
        <w:snapToGrid w:val="0"/>
        <w:spacing w:line="240" w:lineRule="auto"/>
        <w:ind w:firstLine="199" w:firstLineChars="83"/>
        <w:jc w:val="center"/>
        <w:rPr>
          <w:rFonts w:eastAsia="仿宋_GB2312" w:cs="Times New Roman"/>
        </w:rPr>
      </w:pPr>
      <w:r>
        <w:rPr>
          <w:rFonts w:cs="Times New Roman"/>
        </w:rPr>
        <w:drawing>
          <wp:inline distT="0" distB="0" distL="114300" distR="114300">
            <wp:extent cx="5226685" cy="2623820"/>
            <wp:effectExtent l="0" t="0" r="12065" b="5080"/>
            <wp:docPr id="11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78"/>
                    <pic:cNvPicPr>
                      <a:picLocks noChangeAspect="1"/>
                    </pic:cNvPicPr>
                  </pic:nvPicPr>
                  <pic:blipFill>
                    <a:blip r:embed="rId38"/>
                    <a:stretch>
                      <a:fillRect/>
                    </a:stretch>
                  </pic:blipFill>
                  <pic:spPr>
                    <a:xfrm>
                      <a:off x="0" y="0"/>
                      <a:ext cx="5226685" cy="2623820"/>
                    </a:xfrm>
                    <a:prstGeom prst="rect">
                      <a:avLst/>
                    </a:prstGeom>
                    <a:noFill/>
                    <a:ln w="9525">
                      <a:noFill/>
                    </a:ln>
                  </pic:spPr>
                </pic:pic>
              </a:graphicData>
            </a:graphic>
          </wp:inline>
        </w:drawing>
      </w:r>
    </w:p>
    <w:p>
      <w:pPr>
        <w:snapToGrid w:val="0"/>
        <w:spacing w:before="97" w:beforeLines="30" w:after="97" w:afterLines="30" w:line="240" w:lineRule="auto"/>
        <w:ind w:firstLineChars="83"/>
        <w:jc w:val="center"/>
        <w:rPr>
          <w:rFonts w:eastAsia="仿宋_GB2312" w:cs="Times New Roman"/>
          <w:b/>
        </w:rPr>
      </w:pPr>
      <w:r>
        <w:rPr>
          <w:rFonts w:eastAsia="仿宋_GB2312" w:cs="Times New Roman"/>
          <w:b/>
        </w:rPr>
        <w:t>图5</w:t>
      </w:r>
      <w:r>
        <w:rPr>
          <w:rFonts w:hint="eastAsia" w:eastAsia="仿宋_GB2312" w:cs="Times New Roman"/>
          <w:b/>
        </w:rPr>
        <w:t>-</w:t>
      </w:r>
      <w:r>
        <w:rPr>
          <w:rFonts w:eastAsia="仿宋_GB2312" w:cs="Times New Roman"/>
          <w:b/>
        </w:rPr>
        <w:t>13夏口闸断面化学需氧量浓度逐月变化</w:t>
      </w:r>
    </w:p>
    <w:p>
      <w:pPr>
        <w:pStyle w:val="3"/>
        <w:spacing w:line="590" w:lineRule="exact"/>
        <w:ind w:firstLine="643"/>
        <w:rPr>
          <w:rFonts w:eastAsia="楷体_GB2312"/>
        </w:rPr>
      </w:pPr>
      <w:bookmarkStart w:id="68" w:name="_Toc23788321"/>
      <w:r>
        <w:rPr>
          <w:rFonts w:eastAsia="楷体_GB2312"/>
        </w:rPr>
        <w:t>5.3工程实施情况</w:t>
      </w:r>
      <w:bookmarkEnd w:id="68"/>
    </w:p>
    <w:p>
      <w:pPr>
        <w:pStyle w:val="4"/>
        <w:spacing w:line="590" w:lineRule="exact"/>
        <w:ind w:firstLine="643"/>
      </w:pPr>
      <w:bookmarkStart w:id="69" w:name="_Toc23788322"/>
      <w:r>
        <w:t>5.3.1已完成工程项目</w:t>
      </w:r>
      <w:bookmarkEnd w:id="69"/>
    </w:p>
    <w:p>
      <w:pPr>
        <w:adjustRightInd w:val="0"/>
        <w:snapToGrid w:val="0"/>
        <w:spacing w:line="590" w:lineRule="exact"/>
        <w:ind w:firstLine="640"/>
        <w:rPr>
          <w:rFonts w:eastAsia="仿宋_GB2312" w:cs="Times New Roman"/>
          <w:color w:val="000000"/>
          <w:sz w:val="32"/>
          <w:szCs w:val="32"/>
        </w:rPr>
      </w:pPr>
      <w:r>
        <w:rPr>
          <w:rFonts w:eastAsia="仿宋" w:cs="Times New Roman"/>
          <w:color w:val="000000"/>
          <w:sz w:val="32"/>
          <w:szCs w:val="32"/>
        </w:rPr>
        <w:t>泃</w:t>
      </w:r>
      <w:r>
        <w:rPr>
          <w:rFonts w:eastAsia="仿宋_GB2312" w:cs="Times New Roman"/>
          <w:color w:val="000000"/>
          <w:sz w:val="32"/>
          <w:szCs w:val="32"/>
        </w:rPr>
        <w:t>河主要针对城区污染源治理和河道治理与生态修复实施了相关工程，已完成11项工程（含方案外4项工程和调整内容1项工程），主要涵盖污水处理设施建设与改造、纳污管网建设与改造以及河道清淤与人工湿地建设等工程。具体项目清单见表5</w:t>
      </w:r>
      <w:r>
        <w:rPr>
          <w:rFonts w:hint="eastAsia" w:eastAsia="仿宋_GB2312" w:cs="Times New Roman"/>
          <w:sz w:val="32"/>
          <w:szCs w:val="32"/>
        </w:rPr>
        <w:t>-</w:t>
      </w:r>
      <w:r>
        <w:rPr>
          <w:rFonts w:eastAsia="仿宋_GB2312" w:cs="Times New Roman"/>
          <w:color w:val="000000"/>
          <w:sz w:val="32"/>
          <w:szCs w:val="32"/>
        </w:rPr>
        <w:t>3。</w:t>
      </w:r>
    </w:p>
    <w:p>
      <w:pPr>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（1）污水处理设施建设与改造工程5项</w:t>
      </w:r>
    </w:p>
    <w:p>
      <w:pPr>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污水处理设施的建设工程包括三河市城区5万吨/日污水处理厂建设工程（出水达到京B标准），三河市城区污水直排口的应急污水处理工程，三河经济开发区4万吨/日污水处理厂建设工程（出水达到京B标准）和园区1000吨/日污水处理厂工程。污水处理设施改造工程包括南、北城污水处理厂设施改造工程（出水稳定达到一级A标准）</w:t>
      </w:r>
    </w:p>
    <w:p>
      <w:pPr>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（2）纳污管网建设与改造工程3项</w:t>
      </w:r>
    </w:p>
    <w:p>
      <w:pPr>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管网建设与改造工程包括南外环及红娘港（三香路至东环段）提升改造及景观建设工程，艺苑街、鼎盛大街、密三路北段、贤人街、建兴路等路段城镇管网建设工程以及三河市城区现有集中式污水处理管网清淤疏通工程。</w:t>
      </w:r>
    </w:p>
    <w:p>
      <w:pPr>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（3）河道清淤与人工湿地建设工程3项</w:t>
      </w:r>
    </w:p>
    <w:p>
      <w:pPr>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河道清淤工程包括</w:t>
      </w:r>
      <w:r>
        <w:rPr>
          <w:rFonts w:eastAsia="仿宋" w:cs="Times New Roman"/>
          <w:color w:val="000000"/>
          <w:sz w:val="32"/>
          <w:szCs w:val="32"/>
        </w:rPr>
        <w:t>泃</w:t>
      </w:r>
      <w:r>
        <w:rPr>
          <w:rFonts w:eastAsia="仿宋_GB2312" w:cs="Times New Roman"/>
          <w:color w:val="000000"/>
          <w:sz w:val="32"/>
          <w:szCs w:val="32"/>
        </w:rPr>
        <w:t>河（市区段飞虹桥至东环桥）清淤工程和</w:t>
      </w:r>
      <w:r>
        <w:rPr>
          <w:rFonts w:eastAsia="仿宋" w:cs="Times New Roman"/>
          <w:color w:val="000000"/>
          <w:sz w:val="32"/>
          <w:szCs w:val="32"/>
        </w:rPr>
        <w:t>泃</w:t>
      </w:r>
      <w:r>
        <w:rPr>
          <w:rFonts w:eastAsia="仿宋_GB2312" w:cs="Times New Roman"/>
          <w:color w:val="000000"/>
          <w:sz w:val="32"/>
          <w:szCs w:val="32"/>
        </w:rPr>
        <w:t>河市区段外7.3公里清淤工程。人工湿地建设工程包括</w:t>
      </w:r>
      <w:r>
        <w:rPr>
          <w:rFonts w:eastAsia="仿宋" w:cs="Times New Roman"/>
          <w:color w:val="000000"/>
          <w:sz w:val="32"/>
          <w:szCs w:val="32"/>
        </w:rPr>
        <w:t>泃</w:t>
      </w:r>
      <w:r>
        <w:rPr>
          <w:rFonts w:eastAsia="仿宋_GB2312" w:cs="Times New Roman"/>
          <w:color w:val="000000"/>
          <w:sz w:val="32"/>
          <w:szCs w:val="32"/>
        </w:rPr>
        <w:t>河错桥闸生态砾石床工程，污水处理设计能力10万吨/日。</w:t>
      </w:r>
    </w:p>
    <w:p>
      <w:pPr>
        <w:pStyle w:val="2"/>
        <w:autoSpaceDN w:val="0"/>
        <w:snapToGrid w:val="0"/>
        <w:spacing w:line="600" w:lineRule="exact"/>
        <w:ind w:firstLine="640"/>
        <w:jc w:val="center"/>
        <w:rPr>
          <w:rFonts w:eastAsia="仿宋_GB2312"/>
          <w:szCs w:val="32"/>
        </w:rPr>
        <w:sectPr>
          <w:pgSz w:w="11906" w:h="16838"/>
          <w:pgMar w:top="1800" w:right="1440" w:bottom="1800" w:left="1440" w:header="851" w:footer="850" w:gutter="0"/>
          <w:cols w:space="720" w:num="1"/>
          <w:docGrid w:type="lines" w:linePitch="326" w:charSpace="0"/>
        </w:sectPr>
      </w:pPr>
    </w:p>
    <w:p>
      <w:pPr>
        <w:ind w:firstLine="640"/>
        <w:jc w:val="center"/>
        <w:rPr>
          <w:rFonts w:eastAsia="黑体" w:cs="Times New Roman"/>
          <w:sz w:val="32"/>
          <w:szCs w:val="32"/>
        </w:rPr>
      </w:pPr>
      <w:r>
        <w:rPr>
          <w:rFonts w:eastAsia="黑体" w:cs="Times New Roman"/>
          <w:sz w:val="32"/>
          <w:szCs w:val="32"/>
        </w:rPr>
        <w:t>表5</w:t>
      </w:r>
      <w:r>
        <w:rPr>
          <w:rFonts w:hint="eastAsia" w:eastAsia="仿宋_GB2312" w:cs="Times New Roman"/>
          <w:sz w:val="32"/>
          <w:szCs w:val="32"/>
        </w:rPr>
        <w:t>-</w:t>
      </w:r>
      <w:r>
        <w:rPr>
          <w:rFonts w:eastAsia="黑体" w:cs="Times New Roman"/>
          <w:sz w:val="32"/>
          <w:szCs w:val="32"/>
        </w:rPr>
        <w:t>3</w:t>
      </w:r>
      <w:r>
        <w:rPr>
          <w:rFonts w:hint="eastAsia" w:eastAsia="黑体" w:cs="Times New Roman"/>
          <w:sz w:val="32"/>
          <w:szCs w:val="32"/>
        </w:rPr>
        <w:t xml:space="preserve">  </w:t>
      </w:r>
      <w:r>
        <w:rPr>
          <w:rFonts w:eastAsia="黑体" w:cs="Times New Roman"/>
          <w:sz w:val="32"/>
          <w:szCs w:val="32"/>
        </w:rPr>
        <w:t>已完成工程项目清单</w:t>
      </w:r>
    </w:p>
    <w:tbl>
      <w:tblPr>
        <w:tblStyle w:val="13"/>
        <w:tblW w:w="13170" w:type="dxa"/>
        <w:tblInd w:w="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399"/>
        <w:gridCol w:w="734"/>
        <w:gridCol w:w="1164"/>
        <w:gridCol w:w="1193"/>
        <w:gridCol w:w="1413"/>
        <w:gridCol w:w="1511"/>
        <w:gridCol w:w="871"/>
        <w:gridCol w:w="3214"/>
        <w:gridCol w:w="6"/>
        <w:gridCol w:w="1021"/>
        <w:gridCol w:w="818"/>
        <w:gridCol w:w="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 w:hRule="atLeast"/>
          <w:tblHeader/>
        </w:trPr>
        <w:tc>
          <w:tcPr>
            <w:tcW w:w="399" w:type="dxa"/>
            <w:vAlign w:val="center"/>
          </w:tcPr>
          <w:p>
            <w:pPr>
              <w:autoSpaceDN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序号</w:t>
            </w:r>
          </w:p>
        </w:tc>
        <w:tc>
          <w:tcPr>
            <w:tcW w:w="734" w:type="dxa"/>
            <w:vAlign w:val="center"/>
          </w:tcPr>
          <w:p>
            <w:pPr>
              <w:autoSpaceDN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隶属</w:t>
            </w:r>
          </w:p>
          <w:p>
            <w:pPr>
              <w:autoSpaceDN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关系</w:t>
            </w:r>
          </w:p>
        </w:tc>
        <w:tc>
          <w:tcPr>
            <w:tcW w:w="1164" w:type="dxa"/>
            <w:vAlign w:val="center"/>
          </w:tcPr>
          <w:p>
            <w:pPr>
              <w:autoSpaceDN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项目类型</w:t>
            </w:r>
          </w:p>
        </w:tc>
        <w:tc>
          <w:tcPr>
            <w:tcW w:w="1193" w:type="dxa"/>
            <w:vAlign w:val="center"/>
          </w:tcPr>
          <w:p>
            <w:pPr>
              <w:autoSpaceDN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项目名称</w:t>
            </w:r>
          </w:p>
        </w:tc>
        <w:tc>
          <w:tcPr>
            <w:tcW w:w="1413" w:type="dxa"/>
            <w:vAlign w:val="center"/>
          </w:tcPr>
          <w:p>
            <w:pPr>
              <w:autoSpaceDN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建设地点</w:t>
            </w:r>
          </w:p>
        </w:tc>
        <w:tc>
          <w:tcPr>
            <w:tcW w:w="1511" w:type="dxa"/>
            <w:vAlign w:val="center"/>
          </w:tcPr>
          <w:p>
            <w:pPr>
              <w:autoSpaceDN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建设周期</w:t>
            </w:r>
          </w:p>
        </w:tc>
        <w:tc>
          <w:tcPr>
            <w:tcW w:w="871" w:type="dxa"/>
            <w:vAlign w:val="center"/>
          </w:tcPr>
          <w:p>
            <w:pPr>
              <w:autoSpaceDN w:val="0"/>
              <w:snapToGrid w:val="0"/>
              <w:spacing w:line="280" w:lineRule="exact"/>
              <w:ind w:firstLine="0" w:firstLineChars="0"/>
              <w:jc w:val="center"/>
              <w:rPr>
                <w:rFonts w:hint="eastAsia" w:eastAsia="仿宋_GB2312" w:cs="Times New Roman"/>
                <w:b/>
                <w:color w:val="000000"/>
                <w:kern w:val="0"/>
                <w:sz w:val="21"/>
                <w:szCs w:val="21"/>
              </w:rPr>
            </w:pPr>
            <w:r>
              <w:rPr>
                <w:rFonts w:eastAsia="仿宋_GB2312" w:cs="Times New Roman"/>
                <w:b/>
                <w:color w:val="000000"/>
                <w:kern w:val="0"/>
                <w:sz w:val="21"/>
                <w:szCs w:val="21"/>
              </w:rPr>
              <w:t>承担</w:t>
            </w:r>
          </w:p>
          <w:p>
            <w:pPr>
              <w:autoSpaceDN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单位</w:t>
            </w:r>
          </w:p>
        </w:tc>
        <w:tc>
          <w:tcPr>
            <w:tcW w:w="3220" w:type="dxa"/>
            <w:gridSpan w:val="2"/>
            <w:vAlign w:val="center"/>
          </w:tcPr>
          <w:p>
            <w:pPr>
              <w:autoSpaceDN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bCs/>
                <w:color w:val="000000"/>
                <w:kern w:val="0"/>
                <w:sz w:val="21"/>
                <w:szCs w:val="21"/>
              </w:rPr>
              <w:t>项目建设规模与内容</w:t>
            </w:r>
          </w:p>
        </w:tc>
        <w:tc>
          <w:tcPr>
            <w:tcW w:w="1021" w:type="dxa"/>
            <w:vAlign w:val="center"/>
          </w:tcPr>
          <w:p>
            <w:pPr>
              <w:autoSpaceDN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项目总投资（万元）</w:t>
            </w:r>
          </w:p>
        </w:tc>
        <w:tc>
          <w:tcPr>
            <w:tcW w:w="818" w:type="dxa"/>
            <w:vAlign w:val="center"/>
          </w:tcPr>
          <w:p>
            <w:pPr>
              <w:autoSpaceDN w:val="0"/>
              <w:snapToGrid w:val="0"/>
              <w:spacing w:line="280" w:lineRule="exact"/>
              <w:ind w:firstLine="0" w:firstLineChars="0"/>
              <w:jc w:val="center"/>
              <w:rPr>
                <w:rFonts w:hint="eastAsia" w:eastAsia="仿宋_GB2312" w:cs="Times New Roman"/>
                <w:b/>
                <w:color w:val="000000"/>
                <w:kern w:val="0"/>
                <w:sz w:val="21"/>
                <w:szCs w:val="21"/>
              </w:rPr>
            </w:pPr>
            <w:r>
              <w:rPr>
                <w:rFonts w:eastAsia="仿宋_GB2312" w:cs="Times New Roman"/>
                <w:b/>
                <w:color w:val="000000"/>
                <w:kern w:val="0"/>
                <w:sz w:val="21"/>
                <w:szCs w:val="21"/>
              </w:rPr>
              <w:t>关联</w:t>
            </w:r>
          </w:p>
          <w:p>
            <w:pPr>
              <w:autoSpaceDN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水体</w:t>
            </w:r>
          </w:p>
        </w:tc>
        <w:tc>
          <w:tcPr>
            <w:tcW w:w="826" w:type="dxa"/>
            <w:vAlign w:val="center"/>
          </w:tcPr>
          <w:p>
            <w:pPr>
              <w:autoSpaceDN w:val="0"/>
              <w:snapToGrid w:val="0"/>
              <w:spacing w:line="28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275" w:hRule="atLeast"/>
        </w:trPr>
        <w:tc>
          <w:tcPr>
            <w:tcW w:w="13170" w:type="dxa"/>
            <w:gridSpan w:val="12"/>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b/>
                <w:bCs/>
                <w:color w:val="000000"/>
                <w:kern w:val="0"/>
                <w:sz w:val="21"/>
                <w:szCs w:val="21"/>
              </w:rPr>
              <w:t>1</w:t>
            </w:r>
            <w:r>
              <w:rPr>
                <w:rFonts w:hint="eastAsia" w:eastAsia="仿宋_GB2312" w:cs="Times New Roman"/>
                <w:b/>
                <w:bCs/>
                <w:color w:val="000000"/>
                <w:kern w:val="0"/>
                <w:sz w:val="21"/>
                <w:szCs w:val="21"/>
              </w:rPr>
              <w:t>-</w:t>
            </w:r>
            <w:r>
              <w:rPr>
                <w:rFonts w:eastAsia="仿宋_GB2312" w:cs="Times New Roman"/>
                <w:b/>
                <w:bCs/>
                <w:color w:val="000000"/>
                <w:kern w:val="0"/>
                <w:sz w:val="21"/>
                <w:szCs w:val="21"/>
              </w:rPr>
              <w:t>流域污染源治理类型项目小计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 w:hRule="atLeast"/>
        </w:trPr>
        <w:tc>
          <w:tcPr>
            <w:tcW w:w="399"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w:t>
            </w:r>
          </w:p>
        </w:tc>
        <w:tc>
          <w:tcPr>
            <w:tcW w:w="73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16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集中式污水处理设施建设及配套管网工程</w:t>
            </w:r>
          </w:p>
        </w:tc>
        <w:tc>
          <w:tcPr>
            <w:tcW w:w="119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南、北城污水处理厂设施改造工程</w:t>
            </w:r>
          </w:p>
        </w:tc>
        <w:tc>
          <w:tcPr>
            <w:tcW w:w="141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南、北城污水处理厂</w:t>
            </w:r>
          </w:p>
        </w:tc>
        <w:tc>
          <w:tcPr>
            <w:tcW w:w="1511" w:type="dxa"/>
            <w:vAlign w:val="center"/>
          </w:tcPr>
          <w:p>
            <w:pPr>
              <w:autoSpaceDN w:val="0"/>
              <w:snapToGrid w:val="0"/>
              <w:spacing w:line="280" w:lineRule="exact"/>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871"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321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对厌氧池更换生物填料，好氧池更换曝气管曝气头，沉淀池安装MBR纤维过滤膜等。</w:t>
            </w:r>
          </w:p>
        </w:tc>
        <w:tc>
          <w:tcPr>
            <w:tcW w:w="1027" w:type="dxa"/>
            <w:gridSpan w:val="2"/>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951.13</w:t>
            </w:r>
          </w:p>
        </w:tc>
        <w:tc>
          <w:tcPr>
            <w:tcW w:w="818"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826"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 w:hRule="atLeast"/>
        </w:trPr>
        <w:tc>
          <w:tcPr>
            <w:tcW w:w="399"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bookmarkStart w:id="70" w:name="_Hlk9525585"/>
            <w:r>
              <w:rPr>
                <w:rFonts w:eastAsia="仿宋_GB2312" w:cs="Times New Roman"/>
                <w:color w:val="000000"/>
                <w:kern w:val="0"/>
                <w:sz w:val="21"/>
                <w:szCs w:val="21"/>
              </w:rPr>
              <w:t>2</w:t>
            </w:r>
          </w:p>
        </w:tc>
        <w:tc>
          <w:tcPr>
            <w:tcW w:w="734" w:type="dxa"/>
            <w:vAlign w:val="center"/>
          </w:tcPr>
          <w:p>
            <w:pPr>
              <w:spacing w:line="280" w:lineRule="exact"/>
              <w:ind w:firstLine="0" w:firstLineChars="0"/>
              <w:jc w:val="center"/>
              <w:rPr>
                <w:rFonts w:cs="Times New Roman"/>
              </w:rPr>
            </w:pPr>
            <w:r>
              <w:rPr>
                <w:rFonts w:eastAsia="仿宋_GB2312" w:cs="Times New Roman"/>
                <w:color w:val="000000"/>
                <w:kern w:val="0"/>
                <w:sz w:val="21"/>
                <w:szCs w:val="21"/>
              </w:rPr>
              <w:t>三河市</w:t>
            </w:r>
          </w:p>
        </w:tc>
        <w:tc>
          <w:tcPr>
            <w:tcW w:w="116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集中式污水处理设施建设及配套管网工程</w:t>
            </w:r>
          </w:p>
        </w:tc>
        <w:tc>
          <w:tcPr>
            <w:tcW w:w="119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三河东南污水处理厂</w:t>
            </w:r>
          </w:p>
        </w:tc>
        <w:tc>
          <w:tcPr>
            <w:tcW w:w="141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城区东环路东侧、沿口桥南侧约500米、</w:t>
            </w:r>
            <w:r>
              <w:rPr>
                <w:rFonts w:eastAsia="仿宋" w:cs="Times New Roman"/>
                <w:color w:val="000000"/>
                <w:kern w:val="0"/>
                <w:sz w:val="21"/>
                <w:szCs w:val="21"/>
              </w:rPr>
              <w:t>泃</w:t>
            </w:r>
            <w:r>
              <w:rPr>
                <w:rFonts w:eastAsia="仿宋_GB2312" w:cs="Times New Roman"/>
                <w:color w:val="000000"/>
                <w:kern w:val="0"/>
                <w:sz w:val="21"/>
                <w:szCs w:val="21"/>
              </w:rPr>
              <w:t>河右岸西侧</w:t>
            </w:r>
          </w:p>
        </w:tc>
        <w:tc>
          <w:tcPr>
            <w:tcW w:w="1511" w:type="dxa"/>
            <w:vAlign w:val="center"/>
          </w:tcPr>
          <w:p>
            <w:pPr>
              <w:autoSpaceDN w:val="0"/>
              <w:snapToGrid w:val="0"/>
              <w:spacing w:line="280" w:lineRule="exact"/>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871"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321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在东环路东侧、南环路北侧建设一座处理规模为3万吨/日的污水处理厂及配套管网，远期扩建为5 万吨/日。</w:t>
            </w:r>
          </w:p>
        </w:tc>
        <w:tc>
          <w:tcPr>
            <w:tcW w:w="1027" w:type="dxa"/>
            <w:gridSpan w:val="2"/>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28800</w:t>
            </w:r>
          </w:p>
        </w:tc>
        <w:tc>
          <w:tcPr>
            <w:tcW w:w="818"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826"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p>
        </w:tc>
      </w:tr>
      <w:bookmarkEnd w:id="70"/>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 w:hRule="atLeast"/>
        </w:trPr>
        <w:tc>
          <w:tcPr>
            <w:tcW w:w="399"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w:t>
            </w:r>
          </w:p>
        </w:tc>
        <w:tc>
          <w:tcPr>
            <w:tcW w:w="734" w:type="dxa"/>
            <w:vAlign w:val="center"/>
          </w:tcPr>
          <w:p>
            <w:pPr>
              <w:spacing w:line="280" w:lineRule="exact"/>
              <w:ind w:firstLine="0" w:firstLineChars="0"/>
              <w:jc w:val="center"/>
              <w:rPr>
                <w:rFonts w:cs="Times New Roman"/>
              </w:rPr>
            </w:pPr>
            <w:r>
              <w:rPr>
                <w:rFonts w:eastAsia="仿宋_GB2312" w:cs="Times New Roman"/>
                <w:color w:val="000000"/>
                <w:kern w:val="0"/>
                <w:sz w:val="21"/>
                <w:szCs w:val="21"/>
              </w:rPr>
              <w:t>三河市</w:t>
            </w:r>
          </w:p>
        </w:tc>
        <w:tc>
          <w:tcPr>
            <w:tcW w:w="116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污水处理管网疏通工程</w:t>
            </w:r>
          </w:p>
        </w:tc>
        <w:tc>
          <w:tcPr>
            <w:tcW w:w="119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现有集中式污水处理管网清淤疏通工程</w:t>
            </w:r>
          </w:p>
        </w:tc>
        <w:tc>
          <w:tcPr>
            <w:tcW w:w="141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三河市城区</w:t>
            </w:r>
          </w:p>
        </w:tc>
        <w:tc>
          <w:tcPr>
            <w:tcW w:w="1511" w:type="dxa"/>
            <w:vAlign w:val="center"/>
          </w:tcPr>
          <w:p>
            <w:pPr>
              <w:autoSpaceDN w:val="0"/>
              <w:snapToGrid w:val="0"/>
              <w:spacing w:line="280" w:lineRule="exact"/>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2015</w:t>
            </w:r>
            <w:r>
              <w:rPr>
                <w:rFonts w:hint="eastAsia" w:eastAsia="仿宋_GB2312" w:cs="Times New Roman"/>
                <w:color w:val="000000"/>
                <w:kern w:val="0"/>
                <w:sz w:val="21"/>
                <w:szCs w:val="21"/>
              </w:rPr>
              <w:t>—</w:t>
            </w:r>
            <w:r>
              <w:rPr>
                <w:rFonts w:eastAsia="仿宋_GB2312" w:cs="Times New Roman"/>
                <w:color w:val="000000"/>
                <w:kern w:val="0"/>
                <w:sz w:val="21"/>
                <w:szCs w:val="21"/>
              </w:rPr>
              <w:t>2016</w:t>
            </w:r>
            <w:r>
              <w:rPr>
                <w:rFonts w:hint="eastAsia" w:eastAsia="仿宋_GB2312" w:cs="Times New Roman"/>
                <w:color w:val="000000"/>
                <w:kern w:val="0"/>
                <w:sz w:val="21"/>
                <w:szCs w:val="21"/>
              </w:rPr>
              <w:t>年</w:t>
            </w:r>
          </w:p>
        </w:tc>
        <w:tc>
          <w:tcPr>
            <w:tcW w:w="871"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321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管网的疏浚工作，包括降水、排水、吸淤、截污、高压疏通等工作。</w:t>
            </w:r>
          </w:p>
        </w:tc>
        <w:tc>
          <w:tcPr>
            <w:tcW w:w="1027" w:type="dxa"/>
            <w:gridSpan w:val="2"/>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721.57</w:t>
            </w:r>
          </w:p>
        </w:tc>
        <w:tc>
          <w:tcPr>
            <w:tcW w:w="818"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826"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 w:hRule="atLeast"/>
        </w:trPr>
        <w:tc>
          <w:tcPr>
            <w:tcW w:w="399"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w:t>
            </w:r>
          </w:p>
        </w:tc>
        <w:tc>
          <w:tcPr>
            <w:tcW w:w="734" w:type="dxa"/>
            <w:vAlign w:val="center"/>
          </w:tcPr>
          <w:p>
            <w:pPr>
              <w:spacing w:line="280" w:lineRule="exact"/>
              <w:ind w:firstLine="0" w:firstLineChars="0"/>
              <w:jc w:val="center"/>
              <w:rPr>
                <w:rFonts w:cs="Times New Roman"/>
              </w:rPr>
            </w:pPr>
            <w:r>
              <w:rPr>
                <w:rFonts w:eastAsia="仿宋_GB2312" w:cs="Times New Roman"/>
                <w:color w:val="000000"/>
                <w:kern w:val="0"/>
                <w:sz w:val="21"/>
                <w:szCs w:val="21"/>
              </w:rPr>
              <w:t>三河市</w:t>
            </w:r>
          </w:p>
        </w:tc>
        <w:tc>
          <w:tcPr>
            <w:tcW w:w="116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未封堵排污口的应急处理设施建设工程</w:t>
            </w:r>
          </w:p>
        </w:tc>
        <w:tc>
          <w:tcPr>
            <w:tcW w:w="119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污水直排口的应急污水处理</w:t>
            </w:r>
          </w:p>
        </w:tc>
        <w:tc>
          <w:tcPr>
            <w:tcW w:w="141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三河市城区</w:t>
            </w:r>
          </w:p>
        </w:tc>
        <w:tc>
          <w:tcPr>
            <w:tcW w:w="1511" w:type="dxa"/>
            <w:vAlign w:val="center"/>
          </w:tcPr>
          <w:p>
            <w:pPr>
              <w:autoSpaceDN w:val="0"/>
              <w:snapToGrid w:val="0"/>
              <w:spacing w:line="280" w:lineRule="exact"/>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2016</w:t>
            </w:r>
            <w:r>
              <w:rPr>
                <w:rFonts w:hint="eastAsia" w:eastAsia="仿宋_GB2312" w:cs="Times New Roman"/>
                <w:color w:val="000000"/>
                <w:kern w:val="0"/>
                <w:sz w:val="21"/>
                <w:szCs w:val="21"/>
              </w:rPr>
              <w:t>—</w:t>
            </w:r>
            <w:r>
              <w:rPr>
                <w:rFonts w:eastAsia="仿宋_GB2312" w:cs="Times New Roman"/>
                <w:color w:val="000000"/>
                <w:kern w:val="0"/>
                <w:sz w:val="21"/>
                <w:szCs w:val="21"/>
              </w:rPr>
              <w:t>2017</w:t>
            </w:r>
            <w:r>
              <w:rPr>
                <w:rFonts w:hint="eastAsia" w:eastAsia="仿宋_GB2312" w:cs="Times New Roman"/>
                <w:color w:val="000000"/>
                <w:kern w:val="0"/>
                <w:sz w:val="21"/>
                <w:szCs w:val="21"/>
              </w:rPr>
              <w:t>年</w:t>
            </w:r>
          </w:p>
        </w:tc>
        <w:tc>
          <w:tcPr>
            <w:tcW w:w="871"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321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四季阳光西、竹湾二期北排水小河沟、沿口桥排污口等三个未封堵排口的应急污水处理。</w:t>
            </w:r>
          </w:p>
        </w:tc>
        <w:tc>
          <w:tcPr>
            <w:tcW w:w="1027" w:type="dxa"/>
            <w:gridSpan w:val="2"/>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220</w:t>
            </w:r>
          </w:p>
        </w:tc>
        <w:tc>
          <w:tcPr>
            <w:tcW w:w="818"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826"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61" w:hRule="atLeast"/>
        </w:trPr>
        <w:tc>
          <w:tcPr>
            <w:tcW w:w="399"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w:t>
            </w:r>
          </w:p>
        </w:tc>
        <w:tc>
          <w:tcPr>
            <w:tcW w:w="734" w:type="dxa"/>
            <w:vAlign w:val="center"/>
          </w:tcPr>
          <w:p>
            <w:pPr>
              <w:spacing w:line="280" w:lineRule="exact"/>
              <w:ind w:firstLine="0" w:firstLineChars="0"/>
              <w:jc w:val="center"/>
              <w:rPr>
                <w:rFonts w:cs="Times New Roman"/>
              </w:rPr>
            </w:pPr>
            <w:r>
              <w:rPr>
                <w:rFonts w:eastAsia="仿宋_GB2312" w:cs="Times New Roman"/>
                <w:color w:val="000000"/>
                <w:kern w:val="0"/>
                <w:sz w:val="21"/>
                <w:szCs w:val="21"/>
              </w:rPr>
              <w:t>三河市</w:t>
            </w:r>
          </w:p>
        </w:tc>
        <w:tc>
          <w:tcPr>
            <w:tcW w:w="1164" w:type="dxa"/>
            <w:vAlign w:val="center"/>
          </w:tcPr>
          <w:p>
            <w:pPr>
              <w:autoSpaceDN w:val="0"/>
              <w:snapToGrid w:val="0"/>
              <w:spacing w:line="280" w:lineRule="exact"/>
              <w:ind w:firstLine="0" w:firstLineChars="0"/>
              <w:jc w:val="center"/>
              <w:rPr>
                <w:rFonts w:eastAsia="仿宋" w:cs="Times New Roman"/>
                <w:color w:val="000000"/>
                <w:kern w:val="0"/>
                <w:sz w:val="21"/>
                <w:szCs w:val="21"/>
              </w:rPr>
            </w:pPr>
            <w:r>
              <w:rPr>
                <w:rFonts w:eastAsia="仿宋" w:cs="Times New Roman"/>
                <w:color w:val="000000"/>
                <w:kern w:val="0"/>
                <w:sz w:val="21"/>
                <w:szCs w:val="21"/>
              </w:rPr>
              <w:t>泃河综合治理</w:t>
            </w:r>
          </w:p>
        </w:tc>
        <w:tc>
          <w:tcPr>
            <w:tcW w:w="119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河（市区段）清淤工程</w:t>
            </w:r>
          </w:p>
        </w:tc>
        <w:tc>
          <w:tcPr>
            <w:tcW w:w="141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飞虹桥至东环桥</w:t>
            </w:r>
          </w:p>
        </w:tc>
        <w:tc>
          <w:tcPr>
            <w:tcW w:w="1511" w:type="dxa"/>
            <w:vAlign w:val="center"/>
          </w:tcPr>
          <w:p>
            <w:pPr>
              <w:autoSpaceDN w:val="0"/>
              <w:snapToGrid w:val="0"/>
              <w:spacing w:line="280" w:lineRule="exact"/>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2016</w:t>
            </w:r>
            <w:r>
              <w:rPr>
                <w:rFonts w:hint="eastAsia" w:eastAsia="仿宋_GB2312" w:cs="Times New Roman"/>
                <w:color w:val="000000"/>
                <w:kern w:val="0"/>
                <w:sz w:val="21"/>
                <w:szCs w:val="21"/>
              </w:rPr>
              <w:t>—</w:t>
            </w:r>
            <w:r>
              <w:rPr>
                <w:rFonts w:eastAsia="仿宋_GB2312" w:cs="Times New Roman"/>
                <w:color w:val="000000"/>
                <w:kern w:val="0"/>
                <w:sz w:val="21"/>
                <w:szCs w:val="21"/>
              </w:rPr>
              <w:t>2017</w:t>
            </w:r>
            <w:r>
              <w:rPr>
                <w:rFonts w:hint="eastAsia" w:eastAsia="仿宋_GB2312" w:cs="Times New Roman"/>
                <w:color w:val="000000"/>
                <w:kern w:val="0"/>
                <w:sz w:val="21"/>
                <w:szCs w:val="21"/>
              </w:rPr>
              <w:t>年</w:t>
            </w:r>
          </w:p>
        </w:tc>
        <w:tc>
          <w:tcPr>
            <w:tcW w:w="871"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321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美化城市，改善</w:t>
            </w:r>
            <w:r>
              <w:rPr>
                <w:rFonts w:eastAsia="微软雅黑" w:cs="Times New Roman"/>
                <w:color w:val="000000"/>
                <w:kern w:val="0"/>
                <w:sz w:val="21"/>
                <w:szCs w:val="21"/>
              </w:rPr>
              <w:t>泃</w:t>
            </w:r>
            <w:r>
              <w:rPr>
                <w:rFonts w:eastAsia="仿宋_GB2312" w:cs="Times New Roman"/>
                <w:color w:val="000000"/>
                <w:kern w:val="0"/>
                <w:sz w:val="21"/>
                <w:szCs w:val="21"/>
              </w:rPr>
              <w:t>河行洪能力，对</w:t>
            </w:r>
            <w:r>
              <w:rPr>
                <w:rFonts w:eastAsia="仿宋" w:cs="Times New Roman"/>
                <w:color w:val="000000"/>
                <w:kern w:val="0"/>
                <w:sz w:val="21"/>
                <w:szCs w:val="21"/>
              </w:rPr>
              <w:t>泃</w:t>
            </w:r>
            <w:r>
              <w:rPr>
                <w:rFonts w:eastAsia="仿宋_GB2312" w:cs="Times New Roman"/>
                <w:color w:val="000000"/>
                <w:kern w:val="0"/>
                <w:sz w:val="21"/>
                <w:szCs w:val="21"/>
              </w:rPr>
              <w:t>河市区段清淤。</w:t>
            </w:r>
          </w:p>
        </w:tc>
        <w:tc>
          <w:tcPr>
            <w:tcW w:w="1027" w:type="dxa"/>
            <w:gridSpan w:val="2"/>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2843.5789</w:t>
            </w:r>
          </w:p>
        </w:tc>
        <w:tc>
          <w:tcPr>
            <w:tcW w:w="818"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826"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911" w:hRule="atLeast"/>
        </w:trPr>
        <w:tc>
          <w:tcPr>
            <w:tcW w:w="399"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w:t>
            </w:r>
          </w:p>
        </w:tc>
        <w:tc>
          <w:tcPr>
            <w:tcW w:w="734" w:type="dxa"/>
            <w:vAlign w:val="center"/>
          </w:tcPr>
          <w:p>
            <w:pPr>
              <w:spacing w:line="280" w:lineRule="exact"/>
              <w:ind w:firstLine="0" w:firstLineChars="0"/>
              <w:jc w:val="center"/>
              <w:rPr>
                <w:rFonts w:cs="Times New Roman"/>
              </w:rPr>
            </w:pPr>
            <w:r>
              <w:rPr>
                <w:rFonts w:eastAsia="仿宋_GB2312" w:cs="Times New Roman"/>
                <w:color w:val="000000"/>
                <w:kern w:val="0"/>
                <w:sz w:val="21"/>
                <w:szCs w:val="21"/>
              </w:rPr>
              <w:t>三河市</w:t>
            </w:r>
          </w:p>
        </w:tc>
        <w:tc>
          <w:tcPr>
            <w:tcW w:w="116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河综合治理</w:t>
            </w:r>
          </w:p>
        </w:tc>
        <w:tc>
          <w:tcPr>
            <w:tcW w:w="119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南外环及红娘港（三香路至东环段）提升改造及景观建设工程</w:t>
            </w:r>
          </w:p>
        </w:tc>
        <w:tc>
          <w:tcPr>
            <w:tcW w:w="141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南外环及红娘港</w:t>
            </w:r>
          </w:p>
        </w:tc>
        <w:tc>
          <w:tcPr>
            <w:tcW w:w="1511" w:type="dxa"/>
            <w:vAlign w:val="center"/>
          </w:tcPr>
          <w:p>
            <w:pPr>
              <w:autoSpaceDN w:val="0"/>
              <w:snapToGrid w:val="0"/>
              <w:spacing w:line="280" w:lineRule="exact"/>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871"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321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工程全长4200米，一是沿河两岸维修或重新铺设污水截流干管；二是在沿河35个路口重新铺设雨污分流管道；三是对两岸进行园林绿化景观改造，清除河道淤泥。</w:t>
            </w:r>
          </w:p>
        </w:tc>
        <w:tc>
          <w:tcPr>
            <w:tcW w:w="1027" w:type="dxa"/>
            <w:gridSpan w:val="2"/>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7806.08</w:t>
            </w:r>
          </w:p>
        </w:tc>
        <w:tc>
          <w:tcPr>
            <w:tcW w:w="818"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826"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 w:hRule="atLeast"/>
        </w:trPr>
        <w:tc>
          <w:tcPr>
            <w:tcW w:w="399"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w:t>
            </w:r>
          </w:p>
        </w:tc>
        <w:tc>
          <w:tcPr>
            <w:tcW w:w="734" w:type="dxa"/>
            <w:vAlign w:val="center"/>
          </w:tcPr>
          <w:p>
            <w:pPr>
              <w:spacing w:line="280" w:lineRule="exact"/>
              <w:ind w:firstLine="0" w:firstLineChars="0"/>
              <w:jc w:val="center"/>
              <w:rPr>
                <w:rFonts w:cs="Times New Roman"/>
              </w:rPr>
            </w:pPr>
            <w:r>
              <w:rPr>
                <w:rFonts w:eastAsia="仿宋_GB2312" w:cs="Times New Roman"/>
                <w:color w:val="000000"/>
                <w:kern w:val="0"/>
                <w:sz w:val="21"/>
                <w:szCs w:val="21"/>
              </w:rPr>
              <w:t>三河市</w:t>
            </w:r>
          </w:p>
        </w:tc>
        <w:tc>
          <w:tcPr>
            <w:tcW w:w="116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集中式污水处理设施建设及配套管网工程</w:t>
            </w:r>
          </w:p>
        </w:tc>
        <w:tc>
          <w:tcPr>
            <w:tcW w:w="119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城镇管网建设工程</w:t>
            </w:r>
          </w:p>
        </w:tc>
        <w:tc>
          <w:tcPr>
            <w:tcW w:w="141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艺苑街、鼎盛大街、密三路北段、贤人街、建兴路等路段</w:t>
            </w:r>
          </w:p>
        </w:tc>
        <w:tc>
          <w:tcPr>
            <w:tcW w:w="1511" w:type="dxa"/>
            <w:vAlign w:val="center"/>
          </w:tcPr>
          <w:p>
            <w:pPr>
              <w:autoSpaceDN w:val="0"/>
              <w:snapToGrid w:val="0"/>
              <w:spacing w:line="280" w:lineRule="exact"/>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2016</w:t>
            </w:r>
            <w:r>
              <w:rPr>
                <w:rFonts w:hint="eastAsia" w:eastAsia="仿宋_GB2312" w:cs="Times New Roman"/>
                <w:color w:val="000000"/>
                <w:kern w:val="0"/>
                <w:sz w:val="21"/>
                <w:szCs w:val="21"/>
              </w:rPr>
              <w:t>—</w:t>
            </w: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871"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3214" w:type="dxa"/>
            <w:vAlign w:val="center"/>
          </w:tcPr>
          <w:p>
            <w:pPr>
              <w:autoSpaceDN w:val="0"/>
              <w:snapToGrid w:val="0"/>
              <w:spacing w:line="2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年以来，相继实施了艺苑街道路排水改造、鼎盛大街东段污水管网及道路改造、密三路北段道路中修、鼎盛东大街中段、贤人街中段道路排水及改造、贤人街（贤人桥-建兴路段）道路中修、建兴路道路改造等工程。这些工程共完成雨污分流改造6600米，有效的缓解了生活污水对河流的影响。</w:t>
            </w:r>
          </w:p>
        </w:tc>
        <w:tc>
          <w:tcPr>
            <w:tcW w:w="1027" w:type="dxa"/>
            <w:gridSpan w:val="2"/>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5439.56</w:t>
            </w:r>
          </w:p>
        </w:tc>
        <w:tc>
          <w:tcPr>
            <w:tcW w:w="818"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826"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达标方案外工程项目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 w:hRule="atLeast"/>
        </w:trPr>
        <w:tc>
          <w:tcPr>
            <w:tcW w:w="399"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w:t>
            </w:r>
          </w:p>
        </w:tc>
        <w:tc>
          <w:tcPr>
            <w:tcW w:w="734" w:type="dxa"/>
            <w:vAlign w:val="center"/>
          </w:tcPr>
          <w:p>
            <w:pPr>
              <w:spacing w:line="280" w:lineRule="exact"/>
              <w:ind w:firstLine="0" w:firstLineChars="0"/>
              <w:jc w:val="center"/>
              <w:rPr>
                <w:rFonts w:cs="Times New Roman"/>
              </w:rPr>
            </w:pPr>
            <w:r>
              <w:rPr>
                <w:rFonts w:eastAsia="仿宋_GB2312" w:cs="Times New Roman"/>
                <w:color w:val="000000"/>
                <w:kern w:val="0"/>
                <w:sz w:val="21"/>
                <w:szCs w:val="21"/>
              </w:rPr>
              <w:t>三河市</w:t>
            </w:r>
          </w:p>
        </w:tc>
        <w:tc>
          <w:tcPr>
            <w:tcW w:w="1164" w:type="dxa"/>
            <w:vAlign w:val="center"/>
          </w:tcPr>
          <w:p>
            <w:pPr>
              <w:autoSpaceDN w:val="0"/>
              <w:snapToGrid w:val="0"/>
              <w:spacing w:line="280" w:lineRule="exact"/>
              <w:ind w:firstLine="0" w:firstLineChars="0"/>
              <w:jc w:val="center"/>
              <w:rPr>
                <w:rFonts w:eastAsia="仿宋" w:cs="Times New Roman"/>
                <w:color w:val="000000"/>
                <w:kern w:val="0"/>
                <w:sz w:val="21"/>
                <w:szCs w:val="21"/>
              </w:rPr>
            </w:pPr>
            <w:r>
              <w:rPr>
                <w:rFonts w:eastAsia="仿宋" w:cs="Times New Roman"/>
                <w:color w:val="000000"/>
                <w:kern w:val="0"/>
                <w:sz w:val="21"/>
                <w:szCs w:val="21"/>
              </w:rPr>
              <w:t>泃河综合治理</w:t>
            </w:r>
          </w:p>
        </w:tc>
        <w:tc>
          <w:tcPr>
            <w:tcW w:w="119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河清淤工程</w:t>
            </w:r>
          </w:p>
        </w:tc>
        <w:tc>
          <w:tcPr>
            <w:tcW w:w="141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河市区段外</w:t>
            </w:r>
          </w:p>
        </w:tc>
        <w:tc>
          <w:tcPr>
            <w:tcW w:w="1511" w:type="dxa"/>
            <w:vAlign w:val="center"/>
          </w:tcPr>
          <w:p>
            <w:pPr>
              <w:autoSpaceDN w:val="0"/>
              <w:snapToGrid w:val="0"/>
              <w:spacing w:line="280" w:lineRule="exact"/>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2017</w:t>
            </w:r>
            <w:r>
              <w:rPr>
                <w:rFonts w:hint="eastAsia" w:eastAsia="仿宋_GB2312" w:cs="Times New Roman"/>
                <w:color w:val="000000"/>
                <w:kern w:val="0"/>
                <w:sz w:val="21"/>
                <w:szCs w:val="21"/>
              </w:rPr>
              <w:t>—</w:t>
            </w: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871"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3214" w:type="dxa"/>
            <w:vAlign w:val="center"/>
          </w:tcPr>
          <w:p>
            <w:pPr>
              <w:autoSpaceDN w:val="0"/>
              <w:snapToGrid w:val="0"/>
              <w:spacing w:line="2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对</w:t>
            </w:r>
            <w:r>
              <w:rPr>
                <w:rFonts w:eastAsia="仿宋" w:cs="Times New Roman"/>
                <w:color w:val="000000"/>
                <w:kern w:val="0"/>
                <w:sz w:val="21"/>
                <w:szCs w:val="21"/>
              </w:rPr>
              <w:t>泃</w:t>
            </w:r>
            <w:r>
              <w:rPr>
                <w:rFonts w:eastAsia="仿宋_GB2312" w:cs="Times New Roman"/>
                <w:color w:val="000000"/>
                <w:kern w:val="0"/>
                <w:sz w:val="21"/>
                <w:szCs w:val="21"/>
              </w:rPr>
              <w:t>河7.3公里河道（市区外）进行了清淤，共清除淤泥23万立方米，边坡修整2.1万平方米。</w:t>
            </w:r>
          </w:p>
        </w:tc>
        <w:tc>
          <w:tcPr>
            <w:tcW w:w="1027" w:type="dxa"/>
            <w:gridSpan w:val="2"/>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8085</w:t>
            </w:r>
          </w:p>
        </w:tc>
        <w:tc>
          <w:tcPr>
            <w:tcW w:w="818"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826"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达标方案外工程项目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 w:hRule="atLeast"/>
        </w:trPr>
        <w:tc>
          <w:tcPr>
            <w:tcW w:w="399"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w:t>
            </w:r>
          </w:p>
        </w:tc>
        <w:tc>
          <w:tcPr>
            <w:tcW w:w="734" w:type="dxa"/>
            <w:vAlign w:val="center"/>
          </w:tcPr>
          <w:p>
            <w:pPr>
              <w:spacing w:line="280" w:lineRule="exact"/>
              <w:ind w:firstLine="0" w:firstLineChars="0"/>
              <w:jc w:val="center"/>
              <w:rPr>
                <w:rFonts w:cs="Times New Roman"/>
              </w:rPr>
            </w:pPr>
            <w:r>
              <w:rPr>
                <w:rFonts w:eastAsia="仿宋_GB2312" w:cs="Times New Roman"/>
                <w:color w:val="000000"/>
                <w:kern w:val="0"/>
                <w:sz w:val="21"/>
                <w:szCs w:val="21"/>
              </w:rPr>
              <w:t>三河市</w:t>
            </w:r>
          </w:p>
        </w:tc>
        <w:tc>
          <w:tcPr>
            <w:tcW w:w="116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集中式污水处理设施建设及配套管网工程</w:t>
            </w:r>
          </w:p>
        </w:tc>
        <w:tc>
          <w:tcPr>
            <w:tcW w:w="119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1000吨污水处理厂工程</w:t>
            </w:r>
          </w:p>
        </w:tc>
        <w:tc>
          <w:tcPr>
            <w:tcW w:w="141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三河经济开发区</w:t>
            </w:r>
          </w:p>
        </w:tc>
        <w:tc>
          <w:tcPr>
            <w:tcW w:w="1511" w:type="dxa"/>
            <w:vAlign w:val="center"/>
          </w:tcPr>
          <w:p>
            <w:pPr>
              <w:autoSpaceDN w:val="0"/>
              <w:snapToGrid w:val="0"/>
              <w:spacing w:line="280" w:lineRule="exact"/>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871"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3214" w:type="dxa"/>
            <w:vAlign w:val="center"/>
          </w:tcPr>
          <w:p>
            <w:pPr>
              <w:autoSpaceDN w:val="0"/>
              <w:snapToGrid w:val="0"/>
              <w:spacing w:line="2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在园区污水处理厂建设期间，采用租赁模式，通过政府购买服务方式，于2018年2月建设一座日处理能力1000吨的模块式污水处理厂，目前污水处理厂已运行，安装在线监测装置并与环保部门联网。</w:t>
            </w:r>
          </w:p>
        </w:tc>
        <w:tc>
          <w:tcPr>
            <w:tcW w:w="1027" w:type="dxa"/>
            <w:gridSpan w:val="2"/>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584.5656</w:t>
            </w:r>
          </w:p>
        </w:tc>
        <w:tc>
          <w:tcPr>
            <w:tcW w:w="818"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p>
        </w:tc>
        <w:tc>
          <w:tcPr>
            <w:tcW w:w="826"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达标方案外工程项目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 w:hRule="atLeast"/>
        </w:trPr>
        <w:tc>
          <w:tcPr>
            <w:tcW w:w="399"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w:t>
            </w:r>
          </w:p>
        </w:tc>
        <w:tc>
          <w:tcPr>
            <w:tcW w:w="734" w:type="dxa"/>
            <w:vAlign w:val="center"/>
          </w:tcPr>
          <w:p>
            <w:pPr>
              <w:spacing w:line="280" w:lineRule="exact"/>
              <w:ind w:firstLine="0" w:firstLineChars="0"/>
              <w:jc w:val="center"/>
              <w:rPr>
                <w:rFonts w:cs="Times New Roman"/>
              </w:rPr>
            </w:pPr>
            <w:r>
              <w:rPr>
                <w:rFonts w:eastAsia="仿宋_GB2312" w:cs="Times New Roman"/>
                <w:color w:val="000000"/>
                <w:kern w:val="0"/>
                <w:sz w:val="21"/>
                <w:szCs w:val="21"/>
              </w:rPr>
              <w:t>三河市</w:t>
            </w:r>
          </w:p>
        </w:tc>
        <w:tc>
          <w:tcPr>
            <w:tcW w:w="1164"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集中式污水处理设施建设及配套管网工程</w:t>
            </w:r>
          </w:p>
        </w:tc>
        <w:tc>
          <w:tcPr>
            <w:tcW w:w="119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4万吨污水处理厂新建工程</w:t>
            </w:r>
          </w:p>
        </w:tc>
        <w:tc>
          <w:tcPr>
            <w:tcW w:w="141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三河经济开发区</w:t>
            </w:r>
          </w:p>
        </w:tc>
        <w:tc>
          <w:tcPr>
            <w:tcW w:w="1511" w:type="dxa"/>
            <w:vAlign w:val="center"/>
          </w:tcPr>
          <w:p>
            <w:pPr>
              <w:autoSpaceDN w:val="0"/>
              <w:snapToGrid w:val="0"/>
              <w:spacing w:line="280" w:lineRule="exact"/>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871"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3214" w:type="dxa"/>
            <w:vAlign w:val="center"/>
          </w:tcPr>
          <w:p>
            <w:pPr>
              <w:autoSpaceDN w:val="0"/>
              <w:snapToGrid w:val="0"/>
              <w:spacing w:line="260" w:lineRule="exact"/>
              <w:ind w:firstLine="0" w:firstLineChars="0"/>
              <w:jc w:val="center"/>
              <w:rPr>
                <w:rFonts w:eastAsia="仿宋_GB2312" w:cs="Times New Roman"/>
                <w:color w:val="000000"/>
                <w:spacing w:val="-6"/>
                <w:kern w:val="0"/>
                <w:sz w:val="21"/>
                <w:szCs w:val="21"/>
              </w:rPr>
            </w:pPr>
            <w:r>
              <w:rPr>
                <w:rFonts w:eastAsia="仿宋_GB2312" w:cs="Times New Roman"/>
                <w:color w:val="000000"/>
                <w:spacing w:val="-6"/>
                <w:kern w:val="0"/>
                <w:sz w:val="21"/>
                <w:szCs w:val="21"/>
              </w:rPr>
              <w:t>该工程项目占地47.5亩，设计处理规模为日污水处理能力4万吨，采用预处理+FBC改型A2/O+MBR+紫外消毒处理工艺，污水处理排放标准达到北京市《城镇污水处理厂污染物排放标准》（DB11/890-2012）B标准。</w:t>
            </w:r>
          </w:p>
        </w:tc>
        <w:tc>
          <w:tcPr>
            <w:tcW w:w="1027" w:type="dxa"/>
            <w:gridSpan w:val="2"/>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18994.05</w:t>
            </w:r>
          </w:p>
        </w:tc>
        <w:tc>
          <w:tcPr>
            <w:tcW w:w="818"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部分出水红娘港，最后汇入</w:t>
            </w:r>
            <w:r>
              <w:rPr>
                <w:rFonts w:eastAsia="仿宋" w:cs="Times New Roman"/>
                <w:color w:val="000000"/>
                <w:kern w:val="0"/>
                <w:sz w:val="21"/>
                <w:szCs w:val="21"/>
              </w:rPr>
              <w:t>泃</w:t>
            </w:r>
            <w:r>
              <w:rPr>
                <w:rFonts w:eastAsia="仿宋_GB2312" w:cs="Times New Roman"/>
                <w:color w:val="000000"/>
                <w:kern w:val="0"/>
                <w:sz w:val="21"/>
                <w:szCs w:val="21"/>
              </w:rPr>
              <w:t>河</w:t>
            </w:r>
          </w:p>
        </w:tc>
        <w:tc>
          <w:tcPr>
            <w:tcW w:w="826"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达标方案外工程项目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1" w:hRule="atLeast"/>
        </w:trPr>
        <w:tc>
          <w:tcPr>
            <w:tcW w:w="13170" w:type="dxa"/>
            <w:gridSpan w:val="12"/>
            <w:vAlign w:val="center"/>
          </w:tcPr>
          <w:p>
            <w:pPr>
              <w:autoSpaceDN w:val="0"/>
              <w:snapToGrid w:val="0"/>
              <w:spacing w:line="260" w:lineRule="exact"/>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2</w:t>
            </w:r>
            <w:r>
              <w:rPr>
                <w:rFonts w:hint="eastAsia" w:eastAsia="仿宋_GB2312" w:cs="Times New Roman"/>
                <w:b/>
                <w:color w:val="000000"/>
                <w:kern w:val="0"/>
                <w:sz w:val="21"/>
                <w:szCs w:val="21"/>
              </w:rPr>
              <w:t>-</w:t>
            </w:r>
            <w:r>
              <w:rPr>
                <w:rFonts w:eastAsia="仿宋_GB2312" w:cs="Times New Roman"/>
                <w:b/>
                <w:color w:val="000000"/>
                <w:kern w:val="0"/>
                <w:sz w:val="21"/>
                <w:szCs w:val="21"/>
              </w:rPr>
              <w:t>流域生态修复与保护类型项目小计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387" w:hRule="atLeast"/>
        </w:trPr>
        <w:tc>
          <w:tcPr>
            <w:tcW w:w="399"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w:t>
            </w:r>
          </w:p>
        </w:tc>
        <w:tc>
          <w:tcPr>
            <w:tcW w:w="734" w:type="dxa"/>
            <w:vAlign w:val="center"/>
          </w:tcPr>
          <w:p>
            <w:pPr>
              <w:autoSpaceDN w:val="0"/>
              <w:snapToGrid w:val="0"/>
              <w:spacing w:line="280" w:lineRule="exact"/>
              <w:ind w:firstLine="0" w:firstLineChars="0"/>
              <w:jc w:val="center"/>
              <w:rPr>
                <w:rFonts w:eastAsia="仿宋" w:cs="Times New Roman"/>
                <w:color w:val="000000"/>
                <w:kern w:val="0"/>
                <w:sz w:val="21"/>
                <w:szCs w:val="21"/>
              </w:rPr>
            </w:pPr>
            <w:r>
              <w:rPr>
                <w:rFonts w:eastAsia="仿宋_GB2312" w:cs="Times New Roman"/>
                <w:color w:val="000000"/>
                <w:kern w:val="0"/>
                <w:sz w:val="21"/>
                <w:szCs w:val="21"/>
              </w:rPr>
              <w:t>三河市</w:t>
            </w:r>
          </w:p>
        </w:tc>
        <w:tc>
          <w:tcPr>
            <w:tcW w:w="1164" w:type="dxa"/>
            <w:vAlign w:val="center"/>
          </w:tcPr>
          <w:p>
            <w:pPr>
              <w:autoSpaceDN w:val="0"/>
              <w:snapToGrid w:val="0"/>
              <w:spacing w:line="280" w:lineRule="exact"/>
              <w:ind w:firstLine="0" w:firstLineChars="0"/>
              <w:jc w:val="center"/>
              <w:rPr>
                <w:rFonts w:eastAsia="仿宋" w:cs="Times New Roman"/>
                <w:color w:val="000000"/>
                <w:kern w:val="0"/>
                <w:sz w:val="21"/>
                <w:szCs w:val="21"/>
              </w:rPr>
            </w:pPr>
            <w:r>
              <w:rPr>
                <w:rFonts w:eastAsia="仿宋" w:cs="Times New Roman"/>
                <w:color w:val="000000"/>
                <w:kern w:val="0"/>
                <w:sz w:val="21"/>
                <w:szCs w:val="21"/>
              </w:rPr>
              <w:t>湿地工程</w:t>
            </w:r>
          </w:p>
        </w:tc>
        <w:tc>
          <w:tcPr>
            <w:tcW w:w="119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河错桥闸生态砾石床工程</w:t>
            </w:r>
          </w:p>
        </w:tc>
        <w:tc>
          <w:tcPr>
            <w:tcW w:w="1413"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河错桥闸</w:t>
            </w:r>
          </w:p>
        </w:tc>
        <w:tc>
          <w:tcPr>
            <w:tcW w:w="1511"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w:t>
            </w:r>
          </w:p>
        </w:tc>
        <w:tc>
          <w:tcPr>
            <w:tcW w:w="871"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3220" w:type="dxa"/>
            <w:gridSpan w:val="2"/>
            <w:vAlign w:val="center"/>
          </w:tcPr>
          <w:p>
            <w:pPr>
              <w:autoSpaceDN w:val="0"/>
              <w:snapToGrid w:val="0"/>
              <w:spacing w:line="2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工程占地面积约10亩，修建7500平方米净化池及配套建设工程、植物工程、管道工程、取水口排水口工程、仪表和电器工程等，污水处理设计能力10万吨/日。</w:t>
            </w:r>
          </w:p>
        </w:tc>
        <w:tc>
          <w:tcPr>
            <w:tcW w:w="1021"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5735</w:t>
            </w:r>
          </w:p>
        </w:tc>
        <w:tc>
          <w:tcPr>
            <w:tcW w:w="818"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826" w:type="dxa"/>
            <w:vAlign w:val="center"/>
          </w:tcPr>
          <w:p>
            <w:pPr>
              <w:autoSpaceDN w:val="0"/>
              <w:snapToGrid w:val="0"/>
              <w:spacing w:line="280" w:lineRule="exact"/>
              <w:ind w:firstLine="0" w:firstLineChars="0"/>
              <w:jc w:val="center"/>
              <w:rPr>
                <w:rFonts w:eastAsia="仿宋_GB2312" w:cs="Times New Roman"/>
                <w:color w:val="000000"/>
                <w:kern w:val="0"/>
                <w:sz w:val="21"/>
                <w:szCs w:val="21"/>
              </w:rPr>
            </w:pPr>
          </w:p>
        </w:tc>
      </w:tr>
    </w:tbl>
    <w:p>
      <w:pPr>
        <w:pStyle w:val="2"/>
        <w:autoSpaceDN w:val="0"/>
        <w:snapToGrid w:val="0"/>
        <w:spacing w:line="600" w:lineRule="exact"/>
        <w:ind w:firstLine="640"/>
        <w:jc w:val="center"/>
        <w:rPr>
          <w:rFonts w:eastAsia="仿宋_GB2312"/>
          <w:szCs w:val="32"/>
        </w:rPr>
        <w:sectPr>
          <w:footerReference r:id="rId9" w:type="default"/>
          <w:footerReference r:id="rId10" w:type="even"/>
          <w:pgSz w:w="16838" w:h="11906" w:orient="landscape"/>
          <w:pgMar w:top="1531" w:right="2098" w:bottom="1531" w:left="1474" w:header="851" w:footer="851" w:gutter="0"/>
          <w:cols w:space="720" w:num="1"/>
          <w:docGrid w:type="lines" w:linePitch="326" w:charSpace="0"/>
        </w:sectPr>
      </w:pPr>
    </w:p>
    <w:p>
      <w:pPr>
        <w:pStyle w:val="4"/>
        <w:spacing w:line="600" w:lineRule="exact"/>
        <w:ind w:firstLine="643"/>
      </w:pPr>
      <w:bookmarkStart w:id="71" w:name="_Toc23788323"/>
      <w:r>
        <w:t>5.3.2.未完成工程项目</w:t>
      </w:r>
      <w:bookmarkEnd w:id="71"/>
    </w:p>
    <w:p>
      <w:pPr>
        <w:spacing w:line="600" w:lineRule="exact"/>
        <w:ind w:firstLine="624"/>
        <w:rPr>
          <w:rFonts w:eastAsia="仿宋_GB2312" w:cs="Times New Roman"/>
          <w:color w:val="000000"/>
          <w:spacing w:val="-4"/>
          <w:sz w:val="32"/>
          <w:szCs w:val="32"/>
        </w:rPr>
      </w:pPr>
      <w:r>
        <w:rPr>
          <w:rFonts w:eastAsia="仿宋" w:cs="Times New Roman"/>
          <w:color w:val="000000"/>
          <w:spacing w:val="-4"/>
          <w:sz w:val="32"/>
          <w:szCs w:val="32"/>
        </w:rPr>
        <w:t>泃</w:t>
      </w:r>
      <w:r>
        <w:rPr>
          <w:rFonts w:eastAsia="仿宋_GB2312" w:cs="Times New Roman"/>
          <w:color w:val="000000"/>
          <w:spacing w:val="-4"/>
          <w:sz w:val="32"/>
          <w:szCs w:val="32"/>
        </w:rPr>
        <w:t>河未完成项目主要涉及干支流农村污染源治理和污水处理厂尾水治理，未完成工程12项，主要涵盖城区生活污水处理、污水处理厂污泥处理、乡镇与农村生活污水处理、生活垃圾收集处理和污水处理厂尾水深度处理等工程。具体项目清单见表5</w:t>
      </w:r>
      <w:r>
        <w:rPr>
          <w:rFonts w:hint="eastAsia" w:eastAsia="仿宋_GB2312" w:cs="Times New Roman"/>
          <w:sz w:val="32"/>
          <w:szCs w:val="32"/>
        </w:rPr>
        <w:t>-</w:t>
      </w:r>
      <w:r>
        <w:rPr>
          <w:rFonts w:eastAsia="仿宋_GB2312" w:cs="Times New Roman"/>
          <w:color w:val="000000"/>
          <w:spacing w:val="-4"/>
          <w:sz w:val="32"/>
          <w:szCs w:val="32"/>
        </w:rPr>
        <w:t>4。</w:t>
      </w:r>
    </w:p>
    <w:p>
      <w:pPr>
        <w:spacing w:line="600" w:lineRule="exact"/>
        <w:ind w:firstLine="640"/>
        <w:rPr>
          <w:rFonts w:eastAsia="仿宋_GB2312" w:cs="Times New Roman"/>
          <w:color w:val="000000"/>
          <w:sz w:val="32"/>
          <w:szCs w:val="32"/>
        </w:rPr>
      </w:pPr>
      <w:r>
        <w:rPr>
          <w:rFonts w:eastAsia="仿宋_GB2312" w:cs="Times New Roman"/>
          <w:color w:val="000000"/>
          <w:sz w:val="32"/>
          <w:szCs w:val="32"/>
        </w:rPr>
        <w:t>（1）城区生活污水处理工程1项</w:t>
      </w:r>
    </w:p>
    <w:p>
      <w:pPr>
        <w:spacing w:line="600" w:lineRule="exact"/>
        <w:ind w:firstLine="640"/>
        <w:rPr>
          <w:rFonts w:eastAsia="仿宋_GB2312" w:cs="Times New Roman"/>
          <w:color w:val="000000"/>
          <w:sz w:val="32"/>
          <w:szCs w:val="32"/>
        </w:rPr>
      </w:pPr>
      <w:r>
        <w:rPr>
          <w:rFonts w:eastAsia="仿宋_GB2312" w:cs="Times New Roman"/>
          <w:color w:val="000000"/>
          <w:sz w:val="32"/>
          <w:szCs w:val="32"/>
        </w:rPr>
        <w:t>城区生活污水处理包括远期规划城西污水处理厂及管网建设工程，处理规模为3万吨/日，出水达到一级A标准。</w:t>
      </w:r>
    </w:p>
    <w:p>
      <w:pPr>
        <w:spacing w:line="600" w:lineRule="exact"/>
        <w:ind w:firstLine="640"/>
        <w:rPr>
          <w:rFonts w:eastAsia="仿宋_GB2312" w:cs="Times New Roman"/>
          <w:color w:val="000000"/>
          <w:sz w:val="32"/>
          <w:szCs w:val="32"/>
        </w:rPr>
      </w:pPr>
      <w:r>
        <w:rPr>
          <w:rFonts w:eastAsia="仿宋_GB2312" w:cs="Times New Roman"/>
          <w:color w:val="000000"/>
          <w:sz w:val="32"/>
          <w:szCs w:val="32"/>
        </w:rPr>
        <w:t>（2）污水处理厂污泥处理工程1项</w:t>
      </w:r>
    </w:p>
    <w:p>
      <w:pPr>
        <w:spacing w:line="600" w:lineRule="exact"/>
        <w:ind w:firstLine="640"/>
        <w:rPr>
          <w:rFonts w:eastAsia="仿宋_GB2312" w:cs="Times New Roman"/>
          <w:color w:val="000000"/>
          <w:sz w:val="32"/>
          <w:szCs w:val="32"/>
        </w:rPr>
      </w:pPr>
      <w:r>
        <w:rPr>
          <w:rFonts w:eastAsia="仿宋_GB2312" w:cs="Times New Roman"/>
          <w:color w:val="000000"/>
          <w:sz w:val="32"/>
          <w:szCs w:val="32"/>
        </w:rPr>
        <w:t>污水处理厂污泥处理包括现有三座污水处理厂产生的污泥的处理处置工程，处理规模50吨/日。</w:t>
      </w:r>
    </w:p>
    <w:p>
      <w:pPr>
        <w:spacing w:line="600" w:lineRule="exact"/>
        <w:ind w:firstLine="640"/>
        <w:rPr>
          <w:rFonts w:eastAsia="仿宋_GB2312" w:cs="Times New Roman"/>
          <w:color w:val="000000"/>
          <w:sz w:val="32"/>
          <w:szCs w:val="32"/>
        </w:rPr>
      </w:pPr>
      <w:r>
        <w:rPr>
          <w:rFonts w:eastAsia="仿宋_GB2312" w:cs="Times New Roman"/>
          <w:color w:val="000000"/>
          <w:sz w:val="32"/>
          <w:szCs w:val="32"/>
        </w:rPr>
        <w:t>（3）乡镇与农村生活污水处理工程4项</w:t>
      </w:r>
    </w:p>
    <w:p>
      <w:pPr>
        <w:spacing w:line="600" w:lineRule="exact"/>
        <w:ind w:firstLine="640"/>
        <w:rPr>
          <w:rFonts w:eastAsia="仿宋_GB2312" w:cs="Times New Roman"/>
          <w:color w:val="000000"/>
          <w:sz w:val="32"/>
          <w:szCs w:val="32"/>
        </w:rPr>
      </w:pPr>
      <w:r>
        <w:rPr>
          <w:rFonts w:eastAsia="仿宋_GB2312" w:cs="Times New Roman"/>
          <w:color w:val="000000"/>
          <w:sz w:val="32"/>
          <w:szCs w:val="32"/>
        </w:rPr>
        <w:t>农村生活污水处理包括处理规模为0.8万吨/日的新集镇污水处理厂建设及其管网建设工程，</w:t>
      </w:r>
      <w:r>
        <w:rPr>
          <w:rFonts w:eastAsia="仿宋" w:cs="Times New Roman"/>
          <w:color w:val="000000"/>
          <w:sz w:val="32"/>
          <w:szCs w:val="32"/>
        </w:rPr>
        <w:t>泃</w:t>
      </w:r>
      <w:r>
        <w:rPr>
          <w:rFonts w:eastAsia="仿宋_GB2312" w:cs="Times New Roman"/>
          <w:color w:val="000000"/>
          <w:sz w:val="32"/>
          <w:szCs w:val="32"/>
        </w:rPr>
        <w:t>河沿岸村庄分散型污水处理设施建设工程（近、中、远期共14个），沿口桥南一级强化污水处理装置改造工程，主要支流分散污水治理工程（共8个），出水均达到一级A标准。</w:t>
      </w:r>
    </w:p>
    <w:p>
      <w:pPr>
        <w:spacing w:line="600" w:lineRule="exact"/>
        <w:ind w:firstLine="640"/>
        <w:rPr>
          <w:rFonts w:eastAsia="仿宋_GB2312" w:cs="Times New Roman"/>
          <w:color w:val="000000"/>
          <w:sz w:val="32"/>
          <w:szCs w:val="32"/>
        </w:rPr>
      </w:pPr>
      <w:r>
        <w:rPr>
          <w:rFonts w:eastAsia="仿宋_GB2312" w:cs="Times New Roman"/>
          <w:color w:val="000000"/>
          <w:sz w:val="32"/>
          <w:szCs w:val="32"/>
        </w:rPr>
        <w:t>（4）生活垃圾收集处理工程3项</w:t>
      </w:r>
    </w:p>
    <w:p>
      <w:pPr>
        <w:spacing w:line="600" w:lineRule="exact"/>
        <w:ind w:firstLine="640"/>
        <w:rPr>
          <w:rFonts w:eastAsia="仿宋_GB2312" w:cs="Times New Roman"/>
          <w:color w:val="000000"/>
          <w:sz w:val="32"/>
          <w:szCs w:val="32"/>
        </w:rPr>
      </w:pPr>
      <w:r>
        <w:rPr>
          <w:rFonts w:eastAsia="仿宋_GB2312" w:cs="Times New Roman"/>
          <w:color w:val="000000"/>
          <w:sz w:val="32"/>
          <w:szCs w:val="32"/>
        </w:rPr>
        <w:t>生活垃圾收集处理包括</w:t>
      </w:r>
      <w:r>
        <w:rPr>
          <w:rFonts w:eastAsia="仿宋" w:cs="Times New Roman"/>
          <w:color w:val="000000"/>
          <w:sz w:val="32"/>
          <w:szCs w:val="32"/>
        </w:rPr>
        <w:t>泃</w:t>
      </w:r>
      <w:r>
        <w:rPr>
          <w:rFonts w:eastAsia="仿宋_GB2312" w:cs="Times New Roman"/>
          <w:color w:val="000000"/>
          <w:sz w:val="32"/>
          <w:szCs w:val="32"/>
        </w:rPr>
        <w:t>河、红一支、红二支沿岸村庄垃圾收集站建设工程，对沿岸部分村庄垃圾的收集与垃圾堆的处置，构建流域范围内垃圾收运体系以及配备垃圾收运基础设施。</w:t>
      </w:r>
    </w:p>
    <w:p>
      <w:pPr>
        <w:spacing w:line="600" w:lineRule="exact"/>
        <w:ind w:firstLine="640"/>
        <w:rPr>
          <w:rFonts w:eastAsia="仿宋_GB2312" w:cs="Times New Roman"/>
          <w:color w:val="000000"/>
          <w:sz w:val="32"/>
          <w:szCs w:val="32"/>
        </w:rPr>
      </w:pPr>
      <w:r>
        <w:rPr>
          <w:rFonts w:eastAsia="仿宋_GB2312" w:cs="Times New Roman"/>
          <w:color w:val="000000"/>
          <w:sz w:val="32"/>
          <w:szCs w:val="32"/>
        </w:rPr>
        <w:t>（5）污水处理厂尾水深度处理工程3项</w:t>
      </w:r>
    </w:p>
    <w:p>
      <w:pPr>
        <w:spacing w:line="600" w:lineRule="exact"/>
        <w:ind w:firstLine="640"/>
        <w:rPr>
          <w:rFonts w:eastAsia="仿宋_GB2312" w:cs="Times New Roman"/>
          <w:color w:val="000000"/>
          <w:sz w:val="32"/>
          <w:szCs w:val="32"/>
        </w:rPr>
      </w:pPr>
      <w:r>
        <w:rPr>
          <w:rFonts w:eastAsia="仿宋_GB2312" w:cs="Times New Roman"/>
          <w:color w:val="000000"/>
          <w:sz w:val="32"/>
          <w:szCs w:val="32"/>
        </w:rPr>
        <w:t>污水处理厂尾水深度处理包括南、北城污水处理厂尾水人工湿地工程，三河市城区东南污水处理厂尾水人工湿地工程，远期规划的城西污水处理厂尾水人工湿地工程。</w:t>
      </w:r>
    </w:p>
    <w:p>
      <w:pPr>
        <w:pStyle w:val="2"/>
        <w:autoSpaceDN w:val="0"/>
        <w:snapToGrid w:val="0"/>
        <w:spacing w:line="600" w:lineRule="exact"/>
        <w:ind w:firstLine="640"/>
        <w:jc w:val="center"/>
        <w:rPr>
          <w:rFonts w:eastAsia="仿宋_GB2312"/>
          <w:szCs w:val="32"/>
        </w:rPr>
        <w:sectPr>
          <w:footerReference r:id="rId11" w:type="default"/>
          <w:footerReference r:id="rId12" w:type="even"/>
          <w:pgSz w:w="11906" w:h="16838"/>
          <w:pgMar w:top="2098" w:right="1531" w:bottom="1474" w:left="1531" w:header="851" w:footer="851" w:gutter="0"/>
          <w:cols w:space="720" w:num="1"/>
          <w:docGrid w:type="lines" w:linePitch="326" w:charSpace="0"/>
        </w:sectPr>
      </w:pPr>
    </w:p>
    <w:p>
      <w:pPr>
        <w:ind w:firstLine="640"/>
        <w:jc w:val="center"/>
        <w:rPr>
          <w:rFonts w:eastAsia="黑体" w:cs="Times New Roman"/>
          <w:sz w:val="32"/>
          <w:szCs w:val="32"/>
        </w:rPr>
      </w:pPr>
      <w:r>
        <w:rPr>
          <w:rFonts w:eastAsia="黑体" w:cs="Times New Roman"/>
          <w:sz w:val="32"/>
          <w:szCs w:val="32"/>
        </w:rPr>
        <w:t>表5</w:t>
      </w:r>
      <w:r>
        <w:rPr>
          <w:rFonts w:hint="eastAsia" w:eastAsia="仿宋_GB2312" w:cs="Times New Roman"/>
          <w:sz w:val="32"/>
          <w:szCs w:val="32"/>
        </w:rPr>
        <w:t>-</w:t>
      </w:r>
      <w:r>
        <w:rPr>
          <w:rFonts w:eastAsia="黑体" w:cs="Times New Roman"/>
          <w:sz w:val="32"/>
          <w:szCs w:val="32"/>
        </w:rPr>
        <w:t>4</w:t>
      </w:r>
      <w:r>
        <w:rPr>
          <w:rFonts w:hint="eastAsia" w:eastAsia="黑体" w:cs="Times New Roman"/>
          <w:sz w:val="32"/>
          <w:szCs w:val="32"/>
        </w:rPr>
        <w:t xml:space="preserve">  </w:t>
      </w:r>
      <w:r>
        <w:rPr>
          <w:rFonts w:eastAsia="黑体" w:cs="Times New Roman"/>
          <w:sz w:val="32"/>
          <w:szCs w:val="32"/>
        </w:rPr>
        <w:t>未完成工程项目清单</w:t>
      </w:r>
    </w:p>
    <w:tbl>
      <w:tblPr>
        <w:tblStyle w:val="13"/>
        <w:tblW w:w="13260" w:type="dxa"/>
        <w:tblInd w:w="0" w:type="dxa"/>
        <w:tblLayout w:type="fixed"/>
        <w:tblCellMar>
          <w:top w:w="15" w:type="dxa"/>
          <w:left w:w="108" w:type="dxa"/>
          <w:bottom w:w="15" w:type="dxa"/>
          <w:right w:w="108" w:type="dxa"/>
        </w:tblCellMar>
      </w:tblPr>
      <w:tblGrid>
        <w:gridCol w:w="486"/>
        <w:gridCol w:w="729"/>
        <w:gridCol w:w="1470"/>
        <w:gridCol w:w="14"/>
        <w:gridCol w:w="1484"/>
        <w:gridCol w:w="14"/>
        <w:gridCol w:w="1069"/>
        <w:gridCol w:w="1330"/>
        <w:gridCol w:w="980"/>
        <w:gridCol w:w="3326"/>
        <w:gridCol w:w="1093"/>
        <w:gridCol w:w="737"/>
        <w:gridCol w:w="528"/>
      </w:tblGrid>
      <w:tr>
        <w:tblPrEx>
          <w:tblLayout w:type="fixed"/>
          <w:tblCellMar>
            <w:top w:w="15" w:type="dxa"/>
            <w:left w:w="108" w:type="dxa"/>
            <w:bottom w:w="15" w:type="dxa"/>
            <w:right w:w="108" w:type="dxa"/>
          </w:tblCellMar>
        </w:tblPrEx>
        <w:trPr>
          <w:trHeight w:val="758" w:hRule="atLeast"/>
          <w:tblHeader/>
        </w:trPr>
        <w:tc>
          <w:tcPr>
            <w:tcW w:w="486" w:type="dxa"/>
            <w:tcBorders>
              <w:top w:val="single" w:color="000000" w:sz="4" w:space="0"/>
              <w:left w:val="single" w:color="000000" w:sz="4" w:space="0"/>
              <w:bottom w:val="single" w:color="000000" w:sz="4" w:space="0"/>
              <w:right w:val="single" w:color="000000" w:sz="4" w:space="0"/>
            </w:tcBorders>
            <w:shd w:val="clear" w:color="auto" w:fill="auto"/>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序号</w:t>
            </w:r>
          </w:p>
        </w:tc>
        <w:tc>
          <w:tcPr>
            <w:tcW w:w="729" w:type="dxa"/>
            <w:tcBorders>
              <w:top w:val="single" w:color="000000" w:sz="4" w:space="0"/>
              <w:left w:val="single" w:color="000000" w:sz="4" w:space="0"/>
              <w:bottom w:val="single" w:color="000000" w:sz="4" w:space="0"/>
              <w:right w:val="single" w:color="000000" w:sz="4" w:space="0"/>
            </w:tcBorders>
            <w:shd w:val="clear" w:color="auto" w:fill="auto"/>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隶属</w:t>
            </w:r>
          </w:p>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关系</w:t>
            </w:r>
          </w:p>
        </w:tc>
        <w:tc>
          <w:tcPr>
            <w:tcW w:w="1470" w:type="dxa"/>
            <w:tcBorders>
              <w:top w:val="single" w:color="000000" w:sz="4" w:space="0"/>
              <w:left w:val="single" w:color="000000" w:sz="4" w:space="0"/>
              <w:bottom w:val="single" w:color="000000" w:sz="4" w:space="0"/>
              <w:right w:val="single" w:color="000000" w:sz="4" w:space="0"/>
            </w:tcBorders>
            <w:shd w:val="clear" w:color="auto" w:fill="auto"/>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项目类型</w:t>
            </w:r>
          </w:p>
        </w:tc>
        <w:tc>
          <w:tcPr>
            <w:tcW w:w="1512" w:type="dxa"/>
            <w:gridSpan w:val="3"/>
            <w:tcBorders>
              <w:top w:val="single" w:color="000000" w:sz="4" w:space="0"/>
              <w:left w:val="single" w:color="000000" w:sz="4" w:space="0"/>
              <w:bottom w:val="single" w:color="000000" w:sz="4" w:space="0"/>
              <w:right w:val="single" w:color="000000" w:sz="4" w:space="0"/>
            </w:tcBorders>
            <w:shd w:val="clear" w:color="auto" w:fill="auto"/>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项目名称</w:t>
            </w:r>
          </w:p>
        </w:tc>
        <w:tc>
          <w:tcPr>
            <w:tcW w:w="1069" w:type="dxa"/>
            <w:tcBorders>
              <w:top w:val="single" w:color="000000" w:sz="4" w:space="0"/>
              <w:left w:val="single" w:color="000000" w:sz="4" w:space="0"/>
              <w:right w:val="single" w:color="000000" w:sz="4" w:space="0"/>
            </w:tcBorders>
            <w:shd w:val="clear" w:color="auto" w:fill="auto"/>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建设</w:t>
            </w:r>
          </w:p>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地点</w:t>
            </w:r>
          </w:p>
        </w:tc>
        <w:tc>
          <w:tcPr>
            <w:tcW w:w="1330" w:type="dxa"/>
            <w:tcBorders>
              <w:top w:val="single" w:color="000000" w:sz="4" w:space="0"/>
              <w:left w:val="single" w:color="000000" w:sz="4" w:space="0"/>
              <w:bottom w:val="single" w:color="000000" w:sz="4" w:space="0"/>
              <w:right w:val="single" w:color="000000" w:sz="4" w:space="0"/>
            </w:tcBorders>
            <w:shd w:val="clear" w:color="auto" w:fill="auto"/>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建设周期</w:t>
            </w:r>
          </w:p>
        </w:tc>
        <w:tc>
          <w:tcPr>
            <w:tcW w:w="980" w:type="dxa"/>
            <w:tcBorders>
              <w:top w:val="single" w:color="000000" w:sz="4" w:space="0"/>
              <w:left w:val="single" w:color="000000" w:sz="4" w:space="0"/>
              <w:bottom w:val="single" w:color="000000" w:sz="4" w:space="0"/>
              <w:right w:val="single" w:color="000000" w:sz="4" w:space="0"/>
            </w:tcBorders>
            <w:shd w:val="clear" w:color="auto" w:fill="auto"/>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承担单位</w:t>
            </w:r>
          </w:p>
        </w:tc>
        <w:tc>
          <w:tcPr>
            <w:tcW w:w="3326" w:type="dxa"/>
            <w:tcBorders>
              <w:top w:val="single" w:color="000000" w:sz="4" w:space="0"/>
              <w:left w:val="single" w:color="000000" w:sz="4" w:space="0"/>
              <w:bottom w:val="single" w:color="000000" w:sz="4" w:space="0"/>
              <w:right w:val="single" w:color="000000" w:sz="4" w:space="0"/>
            </w:tcBorders>
            <w:shd w:val="clear" w:color="auto" w:fill="auto"/>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项目建设规模与内容</w:t>
            </w:r>
          </w:p>
        </w:tc>
        <w:tc>
          <w:tcPr>
            <w:tcW w:w="1093" w:type="dxa"/>
            <w:tcBorders>
              <w:top w:val="single" w:color="000000" w:sz="4" w:space="0"/>
              <w:left w:val="single" w:color="000000" w:sz="4" w:space="0"/>
              <w:bottom w:val="single" w:color="000000" w:sz="4" w:space="0"/>
              <w:right w:val="single" w:color="000000" w:sz="4" w:space="0"/>
            </w:tcBorders>
            <w:shd w:val="clear" w:color="auto" w:fill="auto"/>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项目总投资（万元）</w:t>
            </w:r>
          </w:p>
        </w:tc>
        <w:tc>
          <w:tcPr>
            <w:tcW w:w="737" w:type="dxa"/>
            <w:tcBorders>
              <w:top w:val="single" w:color="000000" w:sz="4" w:space="0"/>
              <w:left w:val="single" w:color="000000" w:sz="4" w:space="0"/>
              <w:bottom w:val="single" w:color="000000" w:sz="4" w:space="0"/>
              <w:right w:val="single" w:color="000000" w:sz="4" w:space="0"/>
            </w:tcBorders>
            <w:shd w:val="clear" w:color="auto" w:fill="auto"/>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关联</w:t>
            </w:r>
          </w:p>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水体</w:t>
            </w:r>
          </w:p>
        </w:tc>
        <w:tc>
          <w:tcPr>
            <w:tcW w:w="528" w:type="dxa"/>
            <w:tcBorders>
              <w:top w:val="single" w:color="000000" w:sz="4" w:space="0"/>
              <w:left w:val="single" w:color="000000" w:sz="4" w:space="0"/>
              <w:bottom w:val="single" w:color="000000" w:sz="4" w:space="0"/>
              <w:right w:val="single" w:color="000000" w:sz="4" w:space="0"/>
            </w:tcBorders>
            <w:shd w:val="clear" w:color="auto" w:fill="FFFFFF"/>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备注</w:t>
            </w:r>
          </w:p>
        </w:tc>
      </w:tr>
      <w:tr>
        <w:tblPrEx>
          <w:tblLayout w:type="fixed"/>
          <w:tblCellMar>
            <w:top w:w="15" w:type="dxa"/>
            <w:left w:w="108" w:type="dxa"/>
            <w:bottom w:w="15" w:type="dxa"/>
            <w:right w:w="108" w:type="dxa"/>
          </w:tblCellMar>
        </w:tblPrEx>
        <w:trPr>
          <w:trHeight w:val="454" w:hRule="atLeast"/>
        </w:trPr>
        <w:tc>
          <w:tcPr>
            <w:tcW w:w="13260" w:type="dxa"/>
            <w:gridSpan w:val="13"/>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bCs/>
                <w:color w:val="000000"/>
                <w:kern w:val="0"/>
                <w:sz w:val="21"/>
                <w:szCs w:val="21"/>
              </w:rPr>
              <w:t>1</w:t>
            </w:r>
            <w:r>
              <w:rPr>
                <w:rFonts w:hint="eastAsia" w:eastAsia="仿宋_GB2312" w:cs="Times New Roman"/>
                <w:b/>
                <w:bCs/>
                <w:color w:val="000000"/>
                <w:kern w:val="0"/>
                <w:sz w:val="21"/>
                <w:szCs w:val="21"/>
              </w:rPr>
              <w:t>-</w:t>
            </w:r>
            <w:r>
              <w:rPr>
                <w:rFonts w:eastAsia="仿宋_GB2312" w:cs="Times New Roman"/>
                <w:b/>
                <w:bCs/>
                <w:color w:val="000000"/>
                <w:kern w:val="0"/>
                <w:sz w:val="21"/>
                <w:szCs w:val="21"/>
              </w:rPr>
              <w:t>流域污染源治理类型项目小计</w:t>
            </w:r>
          </w:p>
        </w:tc>
      </w:tr>
      <w:tr>
        <w:tblPrEx>
          <w:tblLayout w:type="fixed"/>
          <w:tblCellMar>
            <w:top w:w="15" w:type="dxa"/>
            <w:left w:w="108" w:type="dxa"/>
            <w:bottom w:w="15" w:type="dxa"/>
            <w:right w:w="108" w:type="dxa"/>
          </w:tblCellMar>
        </w:tblPrEx>
        <w:trPr>
          <w:trHeight w:val="987" w:hRule="atLeast"/>
        </w:trPr>
        <w:tc>
          <w:tcPr>
            <w:tcW w:w="48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1</w:t>
            </w:r>
          </w:p>
        </w:tc>
        <w:tc>
          <w:tcPr>
            <w:tcW w:w="72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484"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集中式污水处理设施建设及配套管网工程</w:t>
            </w:r>
          </w:p>
        </w:tc>
        <w:tc>
          <w:tcPr>
            <w:tcW w:w="1484"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新集镇污水处理厂建设及其管网建设</w:t>
            </w:r>
          </w:p>
        </w:tc>
        <w:tc>
          <w:tcPr>
            <w:tcW w:w="1083"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新集镇</w:t>
            </w:r>
          </w:p>
        </w:tc>
        <w:tc>
          <w:tcPr>
            <w:tcW w:w="133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2016</w:t>
            </w:r>
            <w:r>
              <w:rPr>
                <w:rFonts w:hint="eastAsia" w:eastAsia="仿宋_GB2312" w:cs="Times New Roman"/>
                <w:color w:val="000000"/>
                <w:kern w:val="0"/>
                <w:sz w:val="21"/>
                <w:szCs w:val="21"/>
              </w:rPr>
              <w:t>—</w:t>
            </w: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98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 w:cs="Times New Roman"/>
                <w:color w:val="000000"/>
                <w:kern w:val="0"/>
                <w:sz w:val="21"/>
                <w:szCs w:val="21"/>
              </w:rPr>
            </w:pPr>
            <w:r>
              <w:rPr>
                <w:rFonts w:eastAsia="仿宋" w:cs="Times New Roman"/>
                <w:color w:val="000000"/>
                <w:kern w:val="0"/>
                <w:sz w:val="21"/>
                <w:szCs w:val="21"/>
              </w:rPr>
              <w:t>三河市</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政府</w:t>
            </w:r>
          </w:p>
        </w:tc>
        <w:tc>
          <w:tcPr>
            <w:tcW w:w="332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在新集镇建设处理规模为0.8万吨/日的污水处理厂及配套管网。</w:t>
            </w:r>
          </w:p>
        </w:tc>
        <w:tc>
          <w:tcPr>
            <w:tcW w:w="10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4500</w:t>
            </w:r>
          </w:p>
        </w:tc>
        <w:tc>
          <w:tcPr>
            <w:tcW w:w="737"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52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p>
        </w:tc>
      </w:tr>
      <w:tr>
        <w:tblPrEx>
          <w:tblLayout w:type="fixed"/>
          <w:tblCellMar>
            <w:top w:w="15" w:type="dxa"/>
            <w:left w:w="108" w:type="dxa"/>
            <w:bottom w:w="15" w:type="dxa"/>
            <w:right w:w="108" w:type="dxa"/>
          </w:tblCellMar>
        </w:tblPrEx>
        <w:trPr>
          <w:trHeight w:val="1043" w:hRule="atLeast"/>
        </w:trPr>
        <w:tc>
          <w:tcPr>
            <w:tcW w:w="48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2</w:t>
            </w:r>
          </w:p>
        </w:tc>
        <w:tc>
          <w:tcPr>
            <w:tcW w:w="72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484"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集中式污水处理设施建设及配套管网工程</w:t>
            </w:r>
          </w:p>
        </w:tc>
        <w:tc>
          <w:tcPr>
            <w:tcW w:w="1484"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远期规划，城西污水处理厂建设及管网建设</w:t>
            </w:r>
          </w:p>
        </w:tc>
        <w:tc>
          <w:tcPr>
            <w:tcW w:w="1083"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三河城区西</w:t>
            </w:r>
          </w:p>
        </w:tc>
        <w:tc>
          <w:tcPr>
            <w:tcW w:w="133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98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 w:cs="Times New Roman"/>
                <w:color w:val="000000"/>
                <w:kern w:val="0"/>
                <w:sz w:val="21"/>
                <w:szCs w:val="21"/>
              </w:rPr>
            </w:pPr>
            <w:r>
              <w:rPr>
                <w:rFonts w:eastAsia="仿宋" w:cs="Times New Roman"/>
                <w:color w:val="000000"/>
                <w:kern w:val="0"/>
                <w:sz w:val="21"/>
                <w:szCs w:val="21"/>
              </w:rPr>
              <w:t>三河市</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政府</w:t>
            </w:r>
          </w:p>
        </w:tc>
        <w:tc>
          <w:tcPr>
            <w:tcW w:w="332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远期规划再建设一座处理规模为3万</w:t>
            </w:r>
            <w:r>
              <w:rPr>
                <w:rFonts w:eastAsia="仿宋_GB2312" w:cs="Times New Roman"/>
                <w:sz w:val="21"/>
                <w:szCs w:val="21"/>
              </w:rPr>
              <w:t>吨/日</w:t>
            </w:r>
            <w:r>
              <w:rPr>
                <w:rFonts w:eastAsia="仿宋_GB2312" w:cs="Times New Roman"/>
                <w:color w:val="000000"/>
                <w:kern w:val="0"/>
                <w:sz w:val="21"/>
                <w:szCs w:val="21"/>
              </w:rPr>
              <w:t>的污水处理厂及配套管网。</w:t>
            </w:r>
          </w:p>
        </w:tc>
        <w:tc>
          <w:tcPr>
            <w:tcW w:w="10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14000</w:t>
            </w:r>
          </w:p>
        </w:tc>
        <w:tc>
          <w:tcPr>
            <w:tcW w:w="737"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52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p>
        </w:tc>
      </w:tr>
      <w:tr>
        <w:tblPrEx>
          <w:tblLayout w:type="fixed"/>
          <w:tblCellMar>
            <w:top w:w="15" w:type="dxa"/>
            <w:left w:w="108" w:type="dxa"/>
            <w:bottom w:w="15" w:type="dxa"/>
            <w:right w:w="108" w:type="dxa"/>
          </w:tblCellMar>
        </w:tblPrEx>
        <w:trPr>
          <w:trHeight w:val="1190" w:hRule="atLeast"/>
        </w:trPr>
        <w:tc>
          <w:tcPr>
            <w:tcW w:w="48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3</w:t>
            </w:r>
          </w:p>
        </w:tc>
        <w:tc>
          <w:tcPr>
            <w:tcW w:w="72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484"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污泥处理处置工程</w:t>
            </w:r>
          </w:p>
        </w:tc>
        <w:tc>
          <w:tcPr>
            <w:tcW w:w="1484"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三座污水处理厂产生的污泥的处理处置工程</w:t>
            </w:r>
          </w:p>
        </w:tc>
        <w:tc>
          <w:tcPr>
            <w:tcW w:w="1083"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东环路东侧</w:t>
            </w:r>
          </w:p>
        </w:tc>
        <w:tc>
          <w:tcPr>
            <w:tcW w:w="133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w:t>
            </w:r>
            <w:r>
              <w:rPr>
                <w:rFonts w:hint="eastAsia" w:eastAsia="仿宋_GB2312" w:cs="Times New Roman"/>
                <w:color w:val="000000"/>
                <w:kern w:val="0"/>
                <w:sz w:val="21"/>
                <w:szCs w:val="21"/>
              </w:rPr>
              <w:t>—</w:t>
            </w:r>
            <w:r>
              <w:rPr>
                <w:rFonts w:eastAsia="仿宋_GB2312" w:cs="Times New Roman"/>
                <w:color w:val="000000"/>
                <w:kern w:val="0"/>
                <w:sz w:val="21"/>
                <w:szCs w:val="21"/>
              </w:rPr>
              <w:t>2017</w:t>
            </w:r>
            <w:r>
              <w:rPr>
                <w:rFonts w:hint="eastAsia" w:eastAsia="仿宋_GB2312" w:cs="Times New Roman"/>
                <w:color w:val="000000"/>
                <w:kern w:val="0"/>
                <w:sz w:val="21"/>
                <w:szCs w:val="21"/>
              </w:rPr>
              <w:t>年</w:t>
            </w:r>
          </w:p>
        </w:tc>
        <w:tc>
          <w:tcPr>
            <w:tcW w:w="98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 w:cs="Times New Roman"/>
                <w:color w:val="000000"/>
                <w:kern w:val="0"/>
                <w:sz w:val="21"/>
                <w:szCs w:val="21"/>
              </w:rPr>
            </w:pPr>
            <w:r>
              <w:rPr>
                <w:rFonts w:eastAsia="仿宋" w:cs="Times New Roman"/>
                <w:color w:val="000000"/>
                <w:kern w:val="0"/>
                <w:sz w:val="21"/>
                <w:szCs w:val="21"/>
              </w:rPr>
              <w:t>三河市</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政府</w:t>
            </w:r>
          </w:p>
        </w:tc>
        <w:tc>
          <w:tcPr>
            <w:tcW w:w="332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近期处理规模25吨/日，远期处理规模约为50吨/日。</w:t>
            </w:r>
          </w:p>
        </w:tc>
        <w:tc>
          <w:tcPr>
            <w:tcW w:w="10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650</w:t>
            </w:r>
          </w:p>
        </w:tc>
        <w:tc>
          <w:tcPr>
            <w:tcW w:w="737"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52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p>
        </w:tc>
      </w:tr>
      <w:tr>
        <w:tblPrEx>
          <w:tblLayout w:type="fixed"/>
          <w:tblCellMar>
            <w:top w:w="15" w:type="dxa"/>
            <w:left w:w="108" w:type="dxa"/>
            <w:bottom w:w="15" w:type="dxa"/>
            <w:right w:w="108" w:type="dxa"/>
          </w:tblCellMar>
        </w:tblPrEx>
        <w:trPr>
          <w:trHeight w:val="953" w:hRule="atLeast"/>
        </w:trPr>
        <w:tc>
          <w:tcPr>
            <w:tcW w:w="48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4</w:t>
            </w:r>
          </w:p>
        </w:tc>
        <w:tc>
          <w:tcPr>
            <w:tcW w:w="72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484"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分散型污水处理设施建设工程</w:t>
            </w:r>
          </w:p>
        </w:tc>
        <w:tc>
          <w:tcPr>
            <w:tcW w:w="1484"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spacing w:val="-10"/>
                <w:kern w:val="0"/>
                <w:sz w:val="21"/>
                <w:szCs w:val="21"/>
              </w:rPr>
            </w:pPr>
            <w:r>
              <w:rPr>
                <w:rFonts w:eastAsia="仿宋" w:cs="Times New Roman"/>
                <w:color w:val="000000"/>
                <w:spacing w:val="-10"/>
                <w:kern w:val="0"/>
                <w:sz w:val="21"/>
                <w:szCs w:val="21"/>
              </w:rPr>
              <w:t>泃</w:t>
            </w:r>
            <w:r>
              <w:rPr>
                <w:rFonts w:eastAsia="仿宋_GB2312" w:cs="Times New Roman"/>
                <w:color w:val="000000"/>
                <w:spacing w:val="-10"/>
                <w:kern w:val="0"/>
                <w:sz w:val="21"/>
                <w:szCs w:val="21"/>
              </w:rPr>
              <w:t>河沿岸村庄分散型污水处理设施建设工程</w:t>
            </w:r>
          </w:p>
        </w:tc>
        <w:tc>
          <w:tcPr>
            <w:tcW w:w="1083"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河沿岸</w:t>
            </w:r>
          </w:p>
        </w:tc>
        <w:tc>
          <w:tcPr>
            <w:tcW w:w="133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w:t>
            </w:r>
            <w:r>
              <w:rPr>
                <w:rFonts w:hint="eastAsia" w:eastAsia="仿宋_GB2312" w:cs="Times New Roman"/>
                <w:color w:val="000000"/>
                <w:kern w:val="0"/>
                <w:sz w:val="21"/>
                <w:szCs w:val="21"/>
              </w:rPr>
              <w:t>—</w:t>
            </w: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98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 w:cs="Times New Roman"/>
                <w:color w:val="000000"/>
                <w:kern w:val="0"/>
                <w:sz w:val="21"/>
                <w:szCs w:val="21"/>
              </w:rPr>
            </w:pPr>
            <w:r>
              <w:rPr>
                <w:rFonts w:eastAsia="仿宋" w:cs="Times New Roman"/>
                <w:color w:val="000000"/>
                <w:kern w:val="0"/>
                <w:sz w:val="21"/>
                <w:szCs w:val="21"/>
              </w:rPr>
              <w:t>三河市</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政府</w:t>
            </w:r>
          </w:p>
        </w:tc>
        <w:tc>
          <w:tcPr>
            <w:tcW w:w="332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近期5个共800</w:t>
            </w:r>
            <w:r>
              <w:rPr>
                <w:rFonts w:eastAsia="仿宋_GB2312" w:cs="Times New Roman"/>
                <w:sz w:val="21"/>
                <w:szCs w:val="21"/>
              </w:rPr>
              <w:t>吨/日</w:t>
            </w:r>
            <w:r>
              <w:rPr>
                <w:rFonts w:eastAsia="仿宋_GB2312" w:cs="Times New Roman"/>
                <w:color w:val="000000"/>
                <w:kern w:val="0"/>
                <w:sz w:val="21"/>
                <w:szCs w:val="21"/>
              </w:rPr>
              <w:t>；中期4个共1050</w:t>
            </w:r>
            <w:r>
              <w:rPr>
                <w:rFonts w:eastAsia="仿宋_GB2312" w:cs="Times New Roman"/>
                <w:sz w:val="21"/>
                <w:szCs w:val="21"/>
              </w:rPr>
              <w:t>吨/日</w:t>
            </w:r>
            <w:r>
              <w:rPr>
                <w:rFonts w:eastAsia="仿宋_GB2312" w:cs="Times New Roman"/>
                <w:color w:val="000000"/>
                <w:kern w:val="0"/>
                <w:sz w:val="21"/>
                <w:szCs w:val="21"/>
              </w:rPr>
              <w:t>；远期5个共650</w:t>
            </w:r>
            <w:r>
              <w:rPr>
                <w:rFonts w:eastAsia="仿宋_GB2312" w:cs="Times New Roman"/>
                <w:sz w:val="21"/>
                <w:szCs w:val="21"/>
              </w:rPr>
              <w:t>吨/日</w:t>
            </w:r>
            <w:r>
              <w:rPr>
                <w:rFonts w:eastAsia="仿宋_GB2312" w:cs="Times New Roman"/>
                <w:color w:val="000000"/>
                <w:kern w:val="0"/>
                <w:sz w:val="21"/>
                <w:szCs w:val="21"/>
              </w:rPr>
              <w:t>；</w:t>
            </w:r>
            <w:r>
              <w:rPr>
                <w:rFonts w:eastAsia="仿宋" w:cs="Times New Roman"/>
                <w:color w:val="000000"/>
                <w:kern w:val="0"/>
                <w:sz w:val="21"/>
                <w:szCs w:val="21"/>
              </w:rPr>
              <w:t>泃</w:t>
            </w:r>
            <w:r>
              <w:rPr>
                <w:rFonts w:eastAsia="仿宋_GB2312" w:cs="Times New Roman"/>
                <w:color w:val="000000"/>
                <w:kern w:val="0"/>
                <w:sz w:val="21"/>
                <w:szCs w:val="21"/>
              </w:rPr>
              <w:t>河沿岸村庄生活污水管网建设工程。</w:t>
            </w:r>
          </w:p>
        </w:tc>
        <w:tc>
          <w:tcPr>
            <w:tcW w:w="10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1351+4100</w:t>
            </w:r>
          </w:p>
        </w:tc>
        <w:tc>
          <w:tcPr>
            <w:tcW w:w="737"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52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p>
        </w:tc>
      </w:tr>
      <w:tr>
        <w:tblPrEx>
          <w:tblLayout w:type="fixed"/>
          <w:tblCellMar>
            <w:top w:w="15" w:type="dxa"/>
            <w:left w:w="108" w:type="dxa"/>
            <w:bottom w:w="15" w:type="dxa"/>
            <w:right w:w="108" w:type="dxa"/>
          </w:tblCellMar>
        </w:tblPrEx>
        <w:trPr>
          <w:trHeight w:val="1125" w:hRule="atLeast"/>
        </w:trPr>
        <w:tc>
          <w:tcPr>
            <w:tcW w:w="48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5</w:t>
            </w:r>
          </w:p>
        </w:tc>
        <w:tc>
          <w:tcPr>
            <w:tcW w:w="72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484"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垃圾污染治理工程</w:t>
            </w:r>
          </w:p>
        </w:tc>
        <w:tc>
          <w:tcPr>
            <w:tcW w:w="1484"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spacing w:val="-10"/>
                <w:kern w:val="0"/>
                <w:sz w:val="21"/>
                <w:szCs w:val="21"/>
              </w:rPr>
            </w:pPr>
            <w:r>
              <w:rPr>
                <w:rFonts w:eastAsia="仿宋" w:cs="Times New Roman"/>
                <w:color w:val="000000"/>
                <w:spacing w:val="-10"/>
                <w:kern w:val="0"/>
                <w:sz w:val="21"/>
                <w:szCs w:val="21"/>
              </w:rPr>
              <w:t>泃</w:t>
            </w:r>
            <w:r>
              <w:rPr>
                <w:rFonts w:eastAsia="仿宋_GB2312" w:cs="Times New Roman"/>
                <w:color w:val="000000"/>
                <w:spacing w:val="-10"/>
                <w:kern w:val="0"/>
                <w:sz w:val="21"/>
                <w:szCs w:val="21"/>
              </w:rPr>
              <w:t>河沿岸村庄垃圾收集站建设</w:t>
            </w:r>
          </w:p>
        </w:tc>
        <w:tc>
          <w:tcPr>
            <w:tcW w:w="1083"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河沿岸</w:t>
            </w:r>
          </w:p>
        </w:tc>
        <w:tc>
          <w:tcPr>
            <w:tcW w:w="133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2017年6月</w:t>
            </w:r>
          </w:p>
        </w:tc>
        <w:tc>
          <w:tcPr>
            <w:tcW w:w="98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 w:cs="Times New Roman"/>
                <w:color w:val="000000"/>
                <w:kern w:val="0"/>
                <w:sz w:val="21"/>
                <w:szCs w:val="21"/>
              </w:rPr>
            </w:pPr>
            <w:r>
              <w:rPr>
                <w:rFonts w:eastAsia="仿宋" w:cs="Times New Roman"/>
                <w:color w:val="000000"/>
                <w:kern w:val="0"/>
                <w:sz w:val="21"/>
                <w:szCs w:val="21"/>
              </w:rPr>
              <w:t>三河市</w:t>
            </w:r>
          </w:p>
          <w:p>
            <w:pPr>
              <w:autoSpaceDN w:val="0"/>
              <w:snapToGrid w:val="0"/>
              <w:spacing w:line="240" w:lineRule="auto"/>
              <w:ind w:firstLine="0" w:firstLineChars="0"/>
              <w:jc w:val="center"/>
              <w:rPr>
                <w:rFonts w:eastAsia="仿宋_GB2312" w:cs="Times New Roman"/>
                <w:color w:val="000000"/>
                <w:spacing w:val="-8"/>
                <w:kern w:val="0"/>
                <w:sz w:val="21"/>
                <w:szCs w:val="21"/>
              </w:rPr>
            </w:pPr>
            <w:r>
              <w:rPr>
                <w:rFonts w:eastAsia="仿宋" w:cs="Times New Roman"/>
                <w:color w:val="000000"/>
                <w:kern w:val="0"/>
                <w:sz w:val="21"/>
                <w:szCs w:val="21"/>
              </w:rPr>
              <w:t>政府</w:t>
            </w:r>
          </w:p>
        </w:tc>
        <w:tc>
          <w:tcPr>
            <w:tcW w:w="332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包括</w:t>
            </w:r>
            <w:r>
              <w:rPr>
                <w:rFonts w:eastAsia="仿宋" w:cs="Times New Roman"/>
                <w:color w:val="000000"/>
                <w:kern w:val="0"/>
                <w:sz w:val="21"/>
                <w:szCs w:val="21"/>
              </w:rPr>
              <w:t>泃</w:t>
            </w:r>
            <w:r>
              <w:rPr>
                <w:rFonts w:eastAsia="仿宋_GB2312" w:cs="Times New Roman"/>
                <w:color w:val="000000"/>
                <w:kern w:val="0"/>
                <w:sz w:val="21"/>
                <w:szCs w:val="21"/>
              </w:rPr>
              <w:t>河沿岸部分村庄垃圾的收集与垃圾堆的处置，流域范围内垃圾收运体系构建以及基础设施的配备。</w:t>
            </w:r>
          </w:p>
        </w:tc>
        <w:tc>
          <w:tcPr>
            <w:tcW w:w="10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500</w:t>
            </w:r>
          </w:p>
        </w:tc>
        <w:tc>
          <w:tcPr>
            <w:tcW w:w="737"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52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p>
        </w:tc>
      </w:tr>
      <w:tr>
        <w:tblPrEx>
          <w:tblLayout w:type="fixed"/>
          <w:tblCellMar>
            <w:top w:w="15" w:type="dxa"/>
            <w:left w:w="108" w:type="dxa"/>
            <w:bottom w:w="15" w:type="dxa"/>
            <w:right w:w="108" w:type="dxa"/>
          </w:tblCellMar>
        </w:tblPrEx>
        <w:trPr>
          <w:trHeight w:val="1287" w:hRule="atLeast"/>
        </w:trPr>
        <w:tc>
          <w:tcPr>
            <w:tcW w:w="48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6</w:t>
            </w:r>
          </w:p>
        </w:tc>
        <w:tc>
          <w:tcPr>
            <w:tcW w:w="72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484"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镇级污水处理装置升级改造</w:t>
            </w:r>
          </w:p>
        </w:tc>
        <w:tc>
          <w:tcPr>
            <w:tcW w:w="1484"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沿口桥南一级强化污水处理装置改造</w:t>
            </w:r>
          </w:p>
        </w:tc>
        <w:tc>
          <w:tcPr>
            <w:tcW w:w="1083"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沿口桥南</w:t>
            </w:r>
          </w:p>
        </w:tc>
        <w:tc>
          <w:tcPr>
            <w:tcW w:w="133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w:t>
            </w:r>
            <w:r>
              <w:rPr>
                <w:rFonts w:hint="eastAsia" w:eastAsia="仿宋_GB2312" w:cs="Times New Roman"/>
                <w:color w:val="000000"/>
                <w:kern w:val="0"/>
                <w:sz w:val="21"/>
                <w:szCs w:val="21"/>
              </w:rPr>
              <w:t>—</w:t>
            </w:r>
            <w:r>
              <w:rPr>
                <w:rFonts w:eastAsia="仿宋_GB2312" w:cs="Times New Roman"/>
                <w:color w:val="000000"/>
                <w:kern w:val="0"/>
                <w:sz w:val="21"/>
                <w:szCs w:val="21"/>
              </w:rPr>
              <w:t>2017</w:t>
            </w:r>
            <w:r>
              <w:rPr>
                <w:rFonts w:hint="eastAsia" w:eastAsia="仿宋_GB2312" w:cs="Times New Roman"/>
                <w:color w:val="000000"/>
                <w:kern w:val="0"/>
                <w:sz w:val="21"/>
                <w:szCs w:val="21"/>
              </w:rPr>
              <w:t>年</w:t>
            </w:r>
          </w:p>
        </w:tc>
        <w:tc>
          <w:tcPr>
            <w:tcW w:w="98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 w:cs="Times New Roman"/>
                <w:color w:val="000000"/>
                <w:kern w:val="0"/>
                <w:sz w:val="21"/>
                <w:szCs w:val="21"/>
              </w:rPr>
            </w:pPr>
            <w:r>
              <w:rPr>
                <w:rFonts w:eastAsia="仿宋" w:cs="Times New Roman"/>
                <w:color w:val="000000"/>
                <w:kern w:val="0"/>
                <w:sz w:val="21"/>
                <w:szCs w:val="21"/>
              </w:rPr>
              <w:t>三河市</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政府</w:t>
            </w:r>
          </w:p>
        </w:tc>
        <w:tc>
          <w:tcPr>
            <w:tcW w:w="332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一级强化污水处理装置改造为RS—SBR系统，经过已经建成的人工湿地深度处理后排入河流。</w:t>
            </w:r>
          </w:p>
        </w:tc>
        <w:tc>
          <w:tcPr>
            <w:tcW w:w="10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1500</w:t>
            </w:r>
          </w:p>
        </w:tc>
        <w:tc>
          <w:tcPr>
            <w:tcW w:w="737"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52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p>
        </w:tc>
      </w:tr>
      <w:tr>
        <w:tblPrEx>
          <w:tblLayout w:type="fixed"/>
          <w:tblCellMar>
            <w:top w:w="15" w:type="dxa"/>
            <w:left w:w="108" w:type="dxa"/>
            <w:bottom w:w="15" w:type="dxa"/>
            <w:right w:w="108" w:type="dxa"/>
          </w:tblCellMar>
        </w:tblPrEx>
        <w:trPr>
          <w:trHeight w:val="454" w:hRule="atLeast"/>
        </w:trPr>
        <w:tc>
          <w:tcPr>
            <w:tcW w:w="13260" w:type="dxa"/>
            <w:gridSpan w:val="13"/>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bCs/>
                <w:color w:val="000000"/>
                <w:kern w:val="0"/>
                <w:sz w:val="21"/>
                <w:szCs w:val="21"/>
              </w:rPr>
              <w:t>2</w:t>
            </w:r>
            <w:r>
              <w:rPr>
                <w:rFonts w:hint="eastAsia" w:eastAsia="仿宋_GB2312" w:cs="Times New Roman"/>
                <w:b/>
                <w:bCs/>
                <w:color w:val="000000"/>
                <w:kern w:val="0"/>
                <w:sz w:val="21"/>
                <w:szCs w:val="21"/>
              </w:rPr>
              <w:t>-</w:t>
            </w:r>
            <w:r>
              <w:rPr>
                <w:rFonts w:eastAsia="仿宋_GB2312" w:cs="Times New Roman"/>
                <w:b/>
                <w:bCs/>
                <w:color w:val="000000"/>
                <w:kern w:val="0"/>
                <w:sz w:val="21"/>
                <w:szCs w:val="21"/>
              </w:rPr>
              <w:t>流域生态修复与保护类型项目小计</w:t>
            </w:r>
          </w:p>
        </w:tc>
      </w:tr>
      <w:tr>
        <w:tblPrEx>
          <w:tblLayout w:type="fixed"/>
          <w:tblCellMar>
            <w:top w:w="15" w:type="dxa"/>
            <w:left w:w="108" w:type="dxa"/>
            <w:bottom w:w="15" w:type="dxa"/>
            <w:right w:w="108" w:type="dxa"/>
          </w:tblCellMar>
        </w:tblPrEx>
        <w:trPr>
          <w:trHeight w:val="1170" w:hRule="atLeast"/>
        </w:trPr>
        <w:tc>
          <w:tcPr>
            <w:tcW w:w="48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1</w:t>
            </w:r>
          </w:p>
        </w:tc>
        <w:tc>
          <w:tcPr>
            <w:tcW w:w="72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4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湿地工程</w:t>
            </w:r>
          </w:p>
        </w:tc>
        <w:tc>
          <w:tcPr>
            <w:tcW w:w="1512" w:type="dxa"/>
            <w:gridSpan w:val="3"/>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污水厂尾水湿地工程</w:t>
            </w:r>
          </w:p>
        </w:tc>
        <w:tc>
          <w:tcPr>
            <w:tcW w:w="106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三河市城区</w:t>
            </w:r>
          </w:p>
        </w:tc>
        <w:tc>
          <w:tcPr>
            <w:tcW w:w="133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w:t>
            </w:r>
            <w:r>
              <w:rPr>
                <w:rFonts w:hint="eastAsia" w:eastAsia="仿宋_GB2312" w:cs="Times New Roman"/>
                <w:color w:val="000000"/>
                <w:kern w:val="0"/>
                <w:sz w:val="21"/>
                <w:szCs w:val="21"/>
              </w:rPr>
              <w:t>—</w:t>
            </w: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98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 w:cs="Times New Roman"/>
                <w:color w:val="000000"/>
                <w:kern w:val="0"/>
                <w:sz w:val="21"/>
                <w:szCs w:val="21"/>
              </w:rPr>
            </w:pPr>
            <w:r>
              <w:rPr>
                <w:rFonts w:eastAsia="仿宋" w:cs="Times New Roman"/>
                <w:color w:val="000000"/>
                <w:kern w:val="0"/>
                <w:sz w:val="21"/>
                <w:szCs w:val="21"/>
              </w:rPr>
              <w:t>三河市</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政府</w:t>
            </w:r>
          </w:p>
        </w:tc>
        <w:tc>
          <w:tcPr>
            <w:tcW w:w="332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对南城、北城污水厂出水进行深度处理排入</w:t>
            </w:r>
            <w:r>
              <w:rPr>
                <w:rFonts w:eastAsia="仿宋" w:cs="Times New Roman"/>
                <w:color w:val="000000"/>
                <w:kern w:val="0"/>
                <w:sz w:val="21"/>
                <w:szCs w:val="21"/>
              </w:rPr>
              <w:t>泃</w:t>
            </w:r>
            <w:r>
              <w:rPr>
                <w:rFonts w:eastAsia="仿宋_GB2312" w:cs="Times New Roman"/>
                <w:color w:val="000000"/>
                <w:kern w:val="0"/>
                <w:sz w:val="21"/>
                <w:szCs w:val="21"/>
              </w:rPr>
              <w:t>河，处理规模分别为10000</w:t>
            </w:r>
            <w:r>
              <w:rPr>
                <w:rFonts w:eastAsia="仿宋_GB2312" w:cs="Times New Roman"/>
                <w:sz w:val="21"/>
                <w:szCs w:val="21"/>
              </w:rPr>
              <w:t>吨/日</w:t>
            </w:r>
            <w:r>
              <w:rPr>
                <w:rFonts w:eastAsia="仿宋_GB2312" w:cs="Times New Roman"/>
                <w:color w:val="000000"/>
                <w:kern w:val="0"/>
                <w:sz w:val="21"/>
                <w:szCs w:val="21"/>
              </w:rPr>
              <w:t>（南）和5000</w:t>
            </w:r>
            <w:r>
              <w:rPr>
                <w:rFonts w:eastAsia="仿宋_GB2312" w:cs="Times New Roman"/>
                <w:sz w:val="21"/>
                <w:szCs w:val="21"/>
              </w:rPr>
              <w:t>吨/日</w:t>
            </w:r>
            <w:r>
              <w:rPr>
                <w:rFonts w:eastAsia="仿宋_GB2312" w:cs="Times New Roman"/>
                <w:color w:val="000000"/>
                <w:kern w:val="0"/>
                <w:sz w:val="21"/>
                <w:szCs w:val="21"/>
              </w:rPr>
              <w:t>（北）。</w:t>
            </w:r>
          </w:p>
        </w:tc>
        <w:tc>
          <w:tcPr>
            <w:tcW w:w="10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2800</w:t>
            </w:r>
          </w:p>
        </w:tc>
        <w:tc>
          <w:tcPr>
            <w:tcW w:w="737"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52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p>
        </w:tc>
      </w:tr>
      <w:tr>
        <w:tblPrEx>
          <w:tblLayout w:type="fixed"/>
          <w:tblCellMar>
            <w:top w:w="15" w:type="dxa"/>
            <w:left w:w="108" w:type="dxa"/>
            <w:bottom w:w="15" w:type="dxa"/>
            <w:right w:w="108" w:type="dxa"/>
          </w:tblCellMar>
        </w:tblPrEx>
        <w:trPr>
          <w:trHeight w:val="1043" w:hRule="atLeast"/>
        </w:trPr>
        <w:tc>
          <w:tcPr>
            <w:tcW w:w="48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2</w:t>
            </w:r>
          </w:p>
        </w:tc>
        <w:tc>
          <w:tcPr>
            <w:tcW w:w="72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4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湿地工程</w:t>
            </w:r>
          </w:p>
        </w:tc>
        <w:tc>
          <w:tcPr>
            <w:tcW w:w="1512" w:type="dxa"/>
            <w:gridSpan w:val="3"/>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污水厂尾水湿地工程</w:t>
            </w:r>
          </w:p>
        </w:tc>
        <w:tc>
          <w:tcPr>
            <w:tcW w:w="106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三河市城区</w:t>
            </w:r>
          </w:p>
        </w:tc>
        <w:tc>
          <w:tcPr>
            <w:tcW w:w="133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w:t>
            </w:r>
            <w:r>
              <w:rPr>
                <w:rFonts w:hint="eastAsia" w:eastAsia="仿宋_GB2312" w:cs="Times New Roman"/>
                <w:color w:val="000000"/>
                <w:kern w:val="0"/>
                <w:sz w:val="21"/>
                <w:szCs w:val="21"/>
              </w:rPr>
              <w:t>—</w:t>
            </w: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98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 w:cs="Times New Roman"/>
                <w:color w:val="000000"/>
                <w:kern w:val="0"/>
                <w:sz w:val="21"/>
                <w:szCs w:val="21"/>
              </w:rPr>
            </w:pPr>
            <w:r>
              <w:rPr>
                <w:rFonts w:eastAsia="仿宋" w:cs="Times New Roman"/>
                <w:color w:val="000000"/>
                <w:kern w:val="0"/>
                <w:sz w:val="21"/>
                <w:szCs w:val="21"/>
              </w:rPr>
              <w:t>三河市</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政府</w:t>
            </w:r>
          </w:p>
        </w:tc>
        <w:tc>
          <w:tcPr>
            <w:tcW w:w="332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对近期新建东南污水厂出水进行深度处理排入</w:t>
            </w:r>
            <w:r>
              <w:rPr>
                <w:rFonts w:eastAsia="仿宋" w:cs="Times New Roman"/>
                <w:color w:val="000000"/>
                <w:kern w:val="0"/>
                <w:sz w:val="21"/>
                <w:szCs w:val="21"/>
              </w:rPr>
              <w:t>泃</w:t>
            </w:r>
            <w:r>
              <w:rPr>
                <w:rFonts w:eastAsia="仿宋_GB2312" w:cs="Times New Roman"/>
                <w:color w:val="000000"/>
                <w:kern w:val="0"/>
                <w:sz w:val="21"/>
                <w:szCs w:val="21"/>
              </w:rPr>
              <w:t>河，处理规模为50000吨</w:t>
            </w:r>
            <w:r>
              <w:rPr>
                <w:rFonts w:eastAsia="仿宋_GB2312" w:cs="Times New Roman"/>
                <w:sz w:val="21"/>
                <w:szCs w:val="21"/>
              </w:rPr>
              <w:t>/日。</w:t>
            </w:r>
          </w:p>
        </w:tc>
        <w:tc>
          <w:tcPr>
            <w:tcW w:w="10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9000</w:t>
            </w:r>
          </w:p>
        </w:tc>
        <w:tc>
          <w:tcPr>
            <w:tcW w:w="737"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52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p>
        </w:tc>
      </w:tr>
      <w:tr>
        <w:tblPrEx>
          <w:tblLayout w:type="fixed"/>
          <w:tblCellMar>
            <w:top w:w="15" w:type="dxa"/>
            <w:left w:w="108" w:type="dxa"/>
            <w:bottom w:w="15" w:type="dxa"/>
            <w:right w:w="108" w:type="dxa"/>
          </w:tblCellMar>
        </w:tblPrEx>
        <w:trPr>
          <w:trHeight w:val="1009" w:hRule="atLeast"/>
        </w:trPr>
        <w:tc>
          <w:tcPr>
            <w:tcW w:w="48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3</w:t>
            </w:r>
          </w:p>
        </w:tc>
        <w:tc>
          <w:tcPr>
            <w:tcW w:w="72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4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湿地工程</w:t>
            </w:r>
          </w:p>
        </w:tc>
        <w:tc>
          <w:tcPr>
            <w:tcW w:w="1512" w:type="dxa"/>
            <w:gridSpan w:val="3"/>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污水厂尾水湿地工程</w:t>
            </w:r>
          </w:p>
        </w:tc>
        <w:tc>
          <w:tcPr>
            <w:tcW w:w="106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三河市城区</w:t>
            </w:r>
          </w:p>
        </w:tc>
        <w:tc>
          <w:tcPr>
            <w:tcW w:w="133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w:t>
            </w:r>
            <w:r>
              <w:rPr>
                <w:rFonts w:hint="eastAsia" w:eastAsia="仿宋_GB2312" w:cs="Times New Roman"/>
                <w:color w:val="000000"/>
                <w:kern w:val="0"/>
                <w:sz w:val="21"/>
                <w:szCs w:val="21"/>
              </w:rPr>
              <w:t>—</w:t>
            </w: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98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 w:cs="Times New Roman"/>
                <w:color w:val="000000"/>
                <w:kern w:val="0"/>
                <w:sz w:val="21"/>
                <w:szCs w:val="21"/>
              </w:rPr>
            </w:pPr>
            <w:r>
              <w:rPr>
                <w:rFonts w:eastAsia="仿宋" w:cs="Times New Roman"/>
                <w:color w:val="000000"/>
                <w:kern w:val="0"/>
                <w:sz w:val="21"/>
                <w:szCs w:val="21"/>
              </w:rPr>
              <w:t>三河市</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政府</w:t>
            </w:r>
          </w:p>
        </w:tc>
        <w:tc>
          <w:tcPr>
            <w:tcW w:w="332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对远期新建城西污水厂出水进行深度处理排入</w:t>
            </w:r>
            <w:r>
              <w:rPr>
                <w:rFonts w:eastAsia="仿宋" w:cs="Times New Roman"/>
                <w:color w:val="000000"/>
                <w:kern w:val="0"/>
                <w:sz w:val="21"/>
                <w:szCs w:val="21"/>
              </w:rPr>
              <w:t>泃</w:t>
            </w:r>
            <w:r>
              <w:rPr>
                <w:rFonts w:eastAsia="仿宋_GB2312" w:cs="Times New Roman"/>
                <w:color w:val="000000"/>
                <w:kern w:val="0"/>
                <w:sz w:val="21"/>
                <w:szCs w:val="21"/>
              </w:rPr>
              <w:t>河，处理规模为30000吨</w:t>
            </w:r>
            <w:r>
              <w:rPr>
                <w:rFonts w:eastAsia="仿宋_GB2312" w:cs="Times New Roman"/>
                <w:sz w:val="21"/>
                <w:szCs w:val="21"/>
              </w:rPr>
              <w:t>/日。</w:t>
            </w:r>
          </w:p>
        </w:tc>
        <w:tc>
          <w:tcPr>
            <w:tcW w:w="10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5400</w:t>
            </w:r>
          </w:p>
        </w:tc>
        <w:tc>
          <w:tcPr>
            <w:tcW w:w="737"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52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p>
        </w:tc>
      </w:tr>
      <w:tr>
        <w:tblPrEx>
          <w:tblLayout w:type="fixed"/>
          <w:tblCellMar>
            <w:top w:w="15" w:type="dxa"/>
            <w:left w:w="108" w:type="dxa"/>
            <w:bottom w:w="15" w:type="dxa"/>
            <w:right w:w="108" w:type="dxa"/>
          </w:tblCellMar>
        </w:tblPrEx>
        <w:trPr>
          <w:trHeight w:val="454" w:hRule="atLeast"/>
        </w:trPr>
        <w:tc>
          <w:tcPr>
            <w:tcW w:w="13260" w:type="dxa"/>
            <w:gridSpan w:val="13"/>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bCs/>
                <w:color w:val="000000"/>
                <w:kern w:val="0"/>
                <w:sz w:val="21"/>
                <w:szCs w:val="21"/>
              </w:rPr>
              <w:t>3</w:t>
            </w:r>
            <w:r>
              <w:rPr>
                <w:rFonts w:hint="eastAsia" w:eastAsia="仿宋_GB2312" w:cs="Times New Roman"/>
                <w:b/>
                <w:bCs/>
                <w:color w:val="000000"/>
                <w:kern w:val="0"/>
                <w:sz w:val="21"/>
                <w:szCs w:val="21"/>
              </w:rPr>
              <w:t>-</w:t>
            </w:r>
            <w:r>
              <w:rPr>
                <w:rFonts w:eastAsia="仿宋_GB2312" w:cs="Times New Roman"/>
                <w:b/>
                <w:bCs/>
                <w:color w:val="000000"/>
                <w:kern w:val="0"/>
                <w:sz w:val="21"/>
                <w:szCs w:val="21"/>
              </w:rPr>
              <w:t>支流污染源治理项目小计</w:t>
            </w:r>
          </w:p>
        </w:tc>
      </w:tr>
      <w:tr>
        <w:tblPrEx>
          <w:tblLayout w:type="fixed"/>
          <w:tblCellMar>
            <w:top w:w="15" w:type="dxa"/>
            <w:left w:w="108" w:type="dxa"/>
            <w:bottom w:w="15" w:type="dxa"/>
            <w:right w:w="108" w:type="dxa"/>
          </w:tblCellMar>
        </w:tblPrEx>
        <w:trPr>
          <w:trHeight w:val="848" w:hRule="atLeast"/>
        </w:trPr>
        <w:tc>
          <w:tcPr>
            <w:tcW w:w="48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w:t>
            </w:r>
          </w:p>
        </w:tc>
        <w:tc>
          <w:tcPr>
            <w:tcW w:w="72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4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分散型污水处理设施建设工程</w:t>
            </w:r>
          </w:p>
        </w:tc>
        <w:tc>
          <w:tcPr>
            <w:tcW w:w="1512" w:type="dxa"/>
            <w:gridSpan w:val="3"/>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河及主要支流分散污水治理工程</w:t>
            </w:r>
          </w:p>
        </w:tc>
        <w:tc>
          <w:tcPr>
            <w:tcW w:w="106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河及红一、二支河沿岸</w:t>
            </w:r>
          </w:p>
        </w:tc>
        <w:tc>
          <w:tcPr>
            <w:tcW w:w="133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w:t>
            </w:r>
            <w:r>
              <w:rPr>
                <w:rFonts w:hint="eastAsia" w:eastAsia="仿宋_GB2312" w:cs="Times New Roman"/>
                <w:color w:val="000000"/>
                <w:kern w:val="0"/>
                <w:sz w:val="21"/>
                <w:szCs w:val="21"/>
              </w:rPr>
              <w:t>—</w:t>
            </w:r>
            <w:r>
              <w:rPr>
                <w:rFonts w:eastAsia="仿宋_GB2312" w:cs="Times New Roman"/>
                <w:color w:val="000000"/>
                <w:kern w:val="0"/>
                <w:sz w:val="21"/>
                <w:szCs w:val="21"/>
              </w:rPr>
              <w:t>2018</w:t>
            </w:r>
            <w:r>
              <w:rPr>
                <w:rFonts w:hint="eastAsia" w:eastAsia="仿宋_GB2312" w:cs="Times New Roman"/>
                <w:color w:val="000000"/>
                <w:kern w:val="0"/>
                <w:sz w:val="21"/>
                <w:szCs w:val="21"/>
              </w:rPr>
              <w:t>年</w:t>
            </w:r>
          </w:p>
        </w:tc>
        <w:tc>
          <w:tcPr>
            <w:tcW w:w="98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 w:cs="Times New Roman"/>
                <w:color w:val="000000"/>
                <w:kern w:val="0"/>
                <w:sz w:val="21"/>
                <w:szCs w:val="21"/>
              </w:rPr>
            </w:pPr>
            <w:r>
              <w:rPr>
                <w:rFonts w:eastAsia="仿宋" w:cs="Times New Roman"/>
                <w:color w:val="000000"/>
                <w:kern w:val="0"/>
                <w:sz w:val="21"/>
                <w:szCs w:val="21"/>
              </w:rPr>
              <w:t>三河市</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政府</w:t>
            </w:r>
          </w:p>
        </w:tc>
        <w:tc>
          <w:tcPr>
            <w:tcW w:w="332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共计8个污水处理站，处理量1550吨/日。</w:t>
            </w:r>
          </w:p>
        </w:tc>
        <w:tc>
          <w:tcPr>
            <w:tcW w:w="10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1427.5</w:t>
            </w:r>
          </w:p>
        </w:tc>
        <w:tc>
          <w:tcPr>
            <w:tcW w:w="737"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w:t>
            </w:r>
          </w:p>
        </w:tc>
        <w:tc>
          <w:tcPr>
            <w:tcW w:w="52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p>
        </w:tc>
      </w:tr>
      <w:tr>
        <w:tblPrEx>
          <w:tblLayout w:type="fixed"/>
          <w:tblCellMar>
            <w:top w:w="15" w:type="dxa"/>
            <w:left w:w="108" w:type="dxa"/>
            <w:bottom w:w="15" w:type="dxa"/>
            <w:right w:w="108" w:type="dxa"/>
          </w:tblCellMar>
        </w:tblPrEx>
        <w:trPr>
          <w:trHeight w:val="1260" w:hRule="atLeast"/>
        </w:trPr>
        <w:tc>
          <w:tcPr>
            <w:tcW w:w="48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w:t>
            </w:r>
          </w:p>
        </w:tc>
        <w:tc>
          <w:tcPr>
            <w:tcW w:w="72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4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垃圾污染治理工程</w:t>
            </w:r>
          </w:p>
        </w:tc>
        <w:tc>
          <w:tcPr>
            <w:tcW w:w="1512" w:type="dxa"/>
            <w:gridSpan w:val="3"/>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红一支沿岸村庄垃圾收集站建设</w:t>
            </w:r>
          </w:p>
        </w:tc>
        <w:tc>
          <w:tcPr>
            <w:tcW w:w="106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河沿岸</w:t>
            </w:r>
          </w:p>
        </w:tc>
        <w:tc>
          <w:tcPr>
            <w:tcW w:w="133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2017年6月</w:t>
            </w:r>
          </w:p>
        </w:tc>
        <w:tc>
          <w:tcPr>
            <w:tcW w:w="98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 w:cs="Times New Roman"/>
                <w:color w:val="000000"/>
                <w:kern w:val="0"/>
                <w:sz w:val="21"/>
                <w:szCs w:val="21"/>
              </w:rPr>
            </w:pPr>
            <w:r>
              <w:rPr>
                <w:rFonts w:eastAsia="仿宋" w:cs="Times New Roman"/>
                <w:color w:val="000000"/>
                <w:kern w:val="0"/>
                <w:sz w:val="21"/>
                <w:szCs w:val="21"/>
              </w:rPr>
              <w:t>三河市</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政府</w:t>
            </w:r>
          </w:p>
        </w:tc>
        <w:tc>
          <w:tcPr>
            <w:tcW w:w="332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包括</w:t>
            </w:r>
            <w:r>
              <w:rPr>
                <w:rFonts w:eastAsia="仿宋" w:cs="Times New Roman"/>
                <w:color w:val="000000"/>
                <w:kern w:val="0"/>
                <w:sz w:val="21"/>
                <w:szCs w:val="21"/>
              </w:rPr>
              <w:t>泃</w:t>
            </w:r>
            <w:r>
              <w:rPr>
                <w:rFonts w:eastAsia="仿宋_GB2312" w:cs="Times New Roman"/>
                <w:color w:val="000000"/>
                <w:kern w:val="0"/>
                <w:sz w:val="21"/>
                <w:szCs w:val="21"/>
              </w:rPr>
              <w:t>河沿岸部分村庄垃圾的收集与垃圾堆的处置，流域范围内垃圾收运体系构建以及基础设施的配备。共4个垃圾收集站，4辆小型三轮电动垃圾车。</w:t>
            </w:r>
          </w:p>
        </w:tc>
        <w:tc>
          <w:tcPr>
            <w:tcW w:w="10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84</w:t>
            </w:r>
          </w:p>
        </w:tc>
        <w:tc>
          <w:tcPr>
            <w:tcW w:w="737"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红一支</w:t>
            </w:r>
          </w:p>
        </w:tc>
        <w:tc>
          <w:tcPr>
            <w:tcW w:w="52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p>
        </w:tc>
      </w:tr>
      <w:tr>
        <w:tblPrEx>
          <w:tblLayout w:type="fixed"/>
          <w:tblCellMar>
            <w:top w:w="15" w:type="dxa"/>
            <w:left w:w="108" w:type="dxa"/>
            <w:bottom w:w="15" w:type="dxa"/>
            <w:right w:w="108" w:type="dxa"/>
          </w:tblCellMar>
        </w:tblPrEx>
        <w:trPr>
          <w:trHeight w:val="1191" w:hRule="atLeast"/>
        </w:trPr>
        <w:tc>
          <w:tcPr>
            <w:tcW w:w="48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w:t>
            </w:r>
          </w:p>
        </w:tc>
        <w:tc>
          <w:tcPr>
            <w:tcW w:w="72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4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垃圾污染治理工程</w:t>
            </w:r>
          </w:p>
        </w:tc>
        <w:tc>
          <w:tcPr>
            <w:tcW w:w="1512" w:type="dxa"/>
            <w:gridSpan w:val="3"/>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红二支沿岸村庄垃圾收集站建设</w:t>
            </w:r>
          </w:p>
        </w:tc>
        <w:tc>
          <w:tcPr>
            <w:tcW w:w="106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河沿岸</w:t>
            </w:r>
          </w:p>
        </w:tc>
        <w:tc>
          <w:tcPr>
            <w:tcW w:w="133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2017年6月</w:t>
            </w:r>
          </w:p>
        </w:tc>
        <w:tc>
          <w:tcPr>
            <w:tcW w:w="98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 w:cs="Times New Roman"/>
                <w:color w:val="000000"/>
                <w:kern w:val="0"/>
                <w:sz w:val="21"/>
                <w:szCs w:val="21"/>
              </w:rPr>
            </w:pPr>
            <w:r>
              <w:rPr>
                <w:rFonts w:eastAsia="仿宋" w:cs="Times New Roman"/>
                <w:color w:val="000000"/>
                <w:kern w:val="0"/>
                <w:sz w:val="21"/>
                <w:szCs w:val="21"/>
              </w:rPr>
              <w:t>三河市</w:t>
            </w:r>
          </w:p>
          <w:p>
            <w:pPr>
              <w:autoSpaceDN w:val="0"/>
              <w:snapToGrid w:val="0"/>
              <w:spacing w:line="240" w:lineRule="auto"/>
              <w:ind w:firstLine="0" w:firstLineChars="0"/>
              <w:jc w:val="center"/>
              <w:rPr>
                <w:rFonts w:eastAsia="仿宋_GB2312" w:cs="Times New Roman"/>
                <w:color w:val="000000"/>
                <w:kern w:val="0"/>
                <w:sz w:val="21"/>
                <w:szCs w:val="21"/>
              </w:rPr>
            </w:pPr>
            <w:r>
              <w:rPr>
                <w:rFonts w:eastAsia="仿宋" w:cs="Times New Roman"/>
                <w:color w:val="000000"/>
                <w:kern w:val="0"/>
                <w:sz w:val="21"/>
                <w:szCs w:val="21"/>
              </w:rPr>
              <w:t>政府</w:t>
            </w:r>
          </w:p>
        </w:tc>
        <w:tc>
          <w:tcPr>
            <w:tcW w:w="332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包括</w:t>
            </w:r>
            <w:r>
              <w:rPr>
                <w:rFonts w:eastAsia="仿宋" w:cs="Times New Roman"/>
                <w:color w:val="000000"/>
                <w:kern w:val="0"/>
                <w:sz w:val="21"/>
                <w:szCs w:val="21"/>
              </w:rPr>
              <w:t>泃</w:t>
            </w:r>
            <w:r>
              <w:rPr>
                <w:rFonts w:eastAsia="仿宋_GB2312" w:cs="Times New Roman"/>
                <w:color w:val="000000"/>
                <w:kern w:val="0"/>
                <w:sz w:val="21"/>
                <w:szCs w:val="21"/>
              </w:rPr>
              <w:t>河沿岸部分村庄垃圾的收集与垃圾堆的处置，流域范围内垃圾收运体系构建以及基础设施的配备。共5个垃圾收集站，5辆小型三轮电动垃圾车。</w:t>
            </w:r>
          </w:p>
        </w:tc>
        <w:tc>
          <w:tcPr>
            <w:tcW w:w="10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105</w:t>
            </w:r>
          </w:p>
        </w:tc>
        <w:tc>
          <w:tcPr>
            <w:tcW w:w="737"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红二支</w:t>
            </w:r>
          </w:p>
        </w:tc>
        <w:tc>
          <w:tcPr>
            <w:tcW w:w="52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p>
        </w:tc>
      </w:tr>
    </w:tbl>
    <w:p>
      <w:pPr>
        <w:spacing w:line="14" w:lineRule="exact"/>
        <w:ind w:firstLine="480"/>
        <w:rPr>
          <w:rFonts w:cs="Times New Roman"/>
        </w:rPr>
      </w:pPr>
    </w:p>
    <w:p>
      <w:pPr>
        <w:pStyle w:val="2"/>
        <w:autoSpaceDN w:val="0"/>
        <w:snapToGrid w:val="0"/>
        <w:spacing w:line="14" w:lineRule="exact"/>
        <w:ind w:firstLine="640"/>
        <w:jc w:val="center"/>
        <w:rPr>
          <w:rFonts w:eastAsia="仿宋_GB2312"/>
          <w:szCs w:val="32"/>
        </w:rPr>
        <w:sectPr>
          <w:footerReference r:id="rId13" w:type="default"/>
          <w:footerReference r:id="rId14" w:type="even"/>
          <w:pgSz w:w="16838" w:h="11906" w:orient="landscape"/>
          <w:pgMar w:top="1531" w:right="2098" w:bottom="1531" w:left="1474" w:header="851" w:footer="851" w:gutter="0"/>
          <w:cols w:space="720" w:num="1"/>
          <w:docGrid w:type="lines" w:linePitch="326" w:charSpace="0"/>
        </w:sectPr>
      </w:pPr>
    </w:p>
    <w:p>
      <w:pPr>
        <w:pStyle w:val="4"/>
        <w:spacing w:line="600" w:lineRule="exact"/>
        <w:ind w:firstLine="643"/>
      </w:pPr>
      <w:bookmarkStart w:id="72" w:name="_Toc23788324"/>
      <w:r>
        <w:t>5.3.3拟取消工程项目</w:t>
      </w:r>
      <w:bookmarkEnd w:id="72"/>
    </w:p>
    <w:p>
      <w:pPr>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由于现状因素等条件变化，原达标方案中未完成的部分工程已不具备实施必要性，拟取消未完成工程7项，主要涵盖城区生活污水处理、污水处理厂污泥处理和污水处理厂尾水深度处理等工程，主要原因如下。</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（1）新集镇污水处理厂建设及其管网建设</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目前该工程已完成技术方案和投资预算，但由于受与北京城市副中心统一规划，统一政策，统一标准，统一管控影响，造成该项目在规划审批、土地供给等方面受到限制，短时间内工程无法实施。该项工程原拟处理的工业废水已通过企业自建蓄水池对屠宰废水进行存储，确保不外排，并外运到周边污水处理厂处理，同时新集镇已启动实施农村生活污水治理工程，对32个村街安装庭院式污水处理设施。故建议取消“新集镇污水处理厂建设及其管网建设”项目。</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（2）远期规划城西污水处理厂建设及管网建设</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目前三河市已完成南北城污水处理厂设施改造工程，城区5万吨污水处理厂工程，经济开发区4万吨污水处理厂工程（位于市区西部），市区周边污水处理厂日污水处理能力已达到10.5万吨，可满足2020年污水处理规模7万吨/日的需要。故建议取消“远期规划城西污水处理厂建设及管网建设”项目。</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（3）三座污水处理厂产生的污泥处理处置工程</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目前，三座污水处理厂产生的污泥都是在场内经脱水干化后由污泥车外运至垃圾填埋场进行卫生填埋，待垃圾焚烧厂建成后，将运至垃圾焚烧厂处理。故建议取消“三座污水处理厂产生的污泥处理处置工程”项目。</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（4）沿口桥南一级强化污水处理装置改造</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原设计处理的此处污水已截流至三河市区5万吨污水处理厂进行集中处理。故建议取消“沿口桥南一级强化污水处理装置改造”工程。</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（5）南北城污水处理厂尾水湿地工程</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三河市南、北城污水处理厂出水排放标准为一级A标准，处理能力分别为10000吨/日和5000吨/日。因污水处理厂临河，两岸已无空地，经现场踏勘，无法实施尾水湿地工程。同时城区5万吨/日污水处理厂已建成投运，尾水达到京B标准，通过管线补给红娘港，用于改善河道水质。远期待条件成熟后，南、北城污水处理厂将停用，其生活污水全部引入城区5万吨/日污水处理厂处理。故建议取消“南北城污水处理厂尾水湿地工程”项目。</w:t>
      </w:r>
    </w:p>
    <w:p>
      <w:pPr>
        <w:autoSpaceDN w:val="0"/>
        <w:adjustRightInd w:val="0"/>
        <w:snapToGrid w:val="0"/>
        <w:spacing w:line="600" w:lineRule="exact"/>
        <w:ind w:firstLine="640"/>
        <w:rPr>
          <w:rFonts w:hint="eastAsia" w:eastAsia="仿宋_GB2312" w:cs="Times New Roman"/>
          <w:color w:val="000000"/>
          <w:sz w:val="32"/>
          <w:szCs w:val="32"/>
        </w:rPr>
      </w:pPr>
      <w:r>
        <w:rPr>
          <w:rFonts w:eastAsia="仿宋_GB2312" w:cs="Times New Roman"/>
          <w:color w:val="000000"/>
          <w:sz w:val="32"/>
          <w:szCs w:val="32"/>
        </w:rPr>
        <w:t>（6）东南污水厂尾水湿地工程</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东南污水厂设计标准为北京市《城镇污水处理厂污染物排放标准》（DB11890</w:t>
      </w:r>
      <w:r>
        <w:rPr>
          <w:rFonts w:hint="eastAsia" w:eastAsia="仿宋_GB2312" w:cs="Times New Roman"/>
          <w:color w:val="000000"/>
          <w:sz w:val="32"/>
          <w:szCs w:val="32"/>
        </w:rPr>
        <w:t>—</w:t>
      </w:r>
      <w:r>
        <w:rPr>
          <w:rFonts w:eastAsia="仿宋_GB2312" w:cs="Times New Roman"/>
          <w:color w:val="000000"/>
          <w:sz w:val="32"/>
          <w:szCs w:val="32"/>
        </w:rPr>
        <w:t>2012）B标准，主要指标达到地表水准</w:t>
      </w:r>
      <w:r>
        <w:rPr>
          <w:rFonts w:hint="eastAsia" w:eastAsia="仿宋_GB2312" w:cs="Times New Roman"/>
          <w:color w:val="000000"/>
          <w:sz w:val="32"/>
          <w:szCs w:val="32"/>
        </w:rPr>
        <w:t>IV</w:t>
      </w:r>
      <w:r>
        <w:rPr>
          <w:rFonts w:eastAsia="仿宋_GB2312" w:cs="Times New Roman"/>
          <w:color w:val="000000"/>
          <w:sz w:val="32"/>
          <w:szCs w:val="32"/>
        </w:rPr>
        <w:t>类标准，已超出原设计尾水湿地所要达到的V类标准，尾水湿地已无建设必要。故建议取消“东南污水厂尾水湿地工程”项目。</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（7）城西污水厂尾水湿地工程</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前述已分析城西污水处理厂无建设必要性，由于主体已建议</w:t>
      </w:r>
      <w:r>
        <w:rPr>
          <w:rFonts w:eastAsia="仿宋_GB2312"/>
          <w:szCs w:val="32"/>
        </w:rPr>
        <w:br w:type="page"/>
      </w:r>
      <w:r>
        <w:rPr>
          <w:rFonts w:eastAsia="仿宋_GB2312" w:cs="Times New Roman"/>
          <w:color w:val="000000"/>
          <w:sz w:val="32"/>
          <w:szCs w:val="32"/>
        </w:rPr>
        <w:t>取消，其对应的尾水湿地工程亦失去建设意义。故建议取消“城西污水厂尾水湿地工程”项目。</w:t>
      </w:r>
    </w:p>
    <w:p>
      <w:pPr>
        <w:pStyle w:val="4"/>
        <w:spacing w:line="600" w:lineRule="exact"/>
        <w:ind w:firstLine="643"/>
      </w:pPr>
      <w:bookmarkStart w:id="73" w:name="_Toc23788325"/>
      <w:r>
        <w:t>5.3.4拟调整工程项目</w:t>
      </w:r>
      <w:bookmarkEnd w:id="73"/>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由于现状因素等条件变化，原达标方案中未完成的部分工程需要调整建设内容，拟调整未完成工程5项，涉及村庄污水处理和生活垃圾收集处理等工程，主要原因如下。</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（1）</w:t>
      </w:r>
      <w:r>
        <w:rPr>
          <w:rFonts w:eastAsia="仿宋" w:cs="Times New Roman"/>
          <w:color w:val="000000"/>
          <w:sz w:val="32"/>
          <w:szCs w:val="32"/>
        </w:rPr>
        <w:t>泃</w:t>
      </w:r>
      <w:r>
        <w:rPr>
          <w:rFonts w:eastAsia="仿宋_GB2312" w:cs="Times New Roman"/>
          <w:color w:val="000000"/>
          <w:sz w:val="32"/>
          <w:szCs w:val="32"/>
        </w:rPr>
        <w:t>河沿岸村庄分散型污水处理实施建设工程</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目前，三河市启动实施了农村生活污水治理工程，</w:t>
      </w:r>
      <w:r>
        <w:rPr>
          <w:rFonts w:eastAsia="仿宋" w:cs="Times New Roman"/>
          <w:color w:val="000000"/>
          <w:sz w:val="32"/>
          <w:szCs w:val="32"/>
        </w:rPr>
        <w:t>泃</w:t>
      </w:r>
      <w:r>
        <w:rPr>
          <w:rFonts w:eastAsia="仿宋_GB2312" w:cs="Times New Roman"/>
          <w:color w:val="000000"/>
          <w:sz w:val="32"/>
          <w:szCs w:val="32"/>
        </w:rPr>
        <w:t>河沿岸村庄已纳入治理范围，目前正在安装庭院式污水处理设施。故建议调整“</w:t>
      </w:r>
      <w:r>
        <w:rPr>
          <w:rFonts w:eastAsia="仿宋" w:cs="Times New Roman"/>
          <w:color w:val="000000"/>
          <w:sz w:val="32"/>
          <w:szCs w:val="32"/>
        </w:rPr>
        <w:t>泃</w:t>
      </w:r>
      <w:r>
        <w:rPr>
          <w:rFonts w:eastAsia="仿宋_GB2312" w:cs="Times New Roman"/>
          <w:color w:val="000000"/>
          <w:sz w:val="32"/>
          <w:szCs w:val="32"/>
        </w:rPr>
        <w:t>河沿岸村庄分散型污水处理实施建设工程”项目内容。</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（2）</w:t>
      </w:r>
      <w:r>
        <w:rPr>
          <w:rFonts w:eastAsia="仿宋" w:cs="Times New Roman"/>
          <w:color w:val="000000"/>
          <w:sz w:val="32"/>
          <w:szCs w:val="32"/>
        </w:rPr>
        <w:t>泃</w:t>
      </w:r>
      <w:r>
        <w:rPr>
          <w:rFonts w:eastAsia="仿宋_GB2312" w:cs="Times New Roman"/>
          <w:color w:val="000000"/>
          <w:sz w:val="32"/>
          <w:szCs w:val="32"/>
        </w:rPr>
        <w:t>河及主要支流分散污水治理工程</w:t>
      </w:r>
    </w:p>
    <w:p>
      <w:pPr>
        <w:autoSpaceDN w:val="0"/>
        <w:adjustRightInd w:val="0"/>
        <w:snapToGrid w:val="0"/>
        <w:spacing w:line="600" w:lineRule="exact"/>
        <w:ind w:firstLine="640"/>
        <w:rPr>
          <w:rFonts w:eastAsia="仿宋_GB2312" w:cs="Times New Roman"/>
          <w:color w:val="000000"/>
          <w:sz w:val="32"/>
          <w:szCs w:val="32"/>
        </w:rPr>
      </w:pPr>
      <w:r>
        <w:rPr>
          <w:rFonts w:eastAsia="仿宋_GB2312" w:cs="Times New Roman"/>
          <w:color w:val="000000"/>
          <w:sz w:val="32"/>
          <w:szCs w:val="32"/>
        </w:rPr>
        <w:t>目前，三河市已全面开展农村人居环境整治工作，</w:t>
      </w:r>
      <w:r>
        <w:rPr>
          <w:rFonts w:eastAsia="仿宋" w:cs="Times New Roman"/>
          <w:color w:val="000000"/>
          <w:sz w:val="32"/>
          <w:szCs w:val="32"/>
        </w:rPr>
        <w:t>泃</w:t>
      </w:r>
      <w:r>
        <w:rPr>
          <w:rFonts w:eastAsia="仿宋_GB2312" w:cs="Times New Roman"/>
          <w:color w:val="000000"/>
          <w:sz w:val="32"/>
          <w:szCs w:val="32"/>
        </w:rPr>
        <w:t>河干流沿线村街全部纳入农村生活污水治理工程范围，支流红娘港一支、红娘港二支沿线村街已全部纳入重点管控范围，农村生活污水采取减量、原位消纳管控处理。同时红一支、红二支沿线部分村庄的生活污水可引入经济开发区污水处理厂管网一并处理。故建议调整“</w:t>
      </w:r>
      <w:r>
        <w:rPr>
          <w:rFonts w:eastAsia="仿宋" w:cs="Times New Roman"/>
          <w:color w:val="000000"/>
          <w:sz w:val="32"/>
          <w:szCs w:val="32"/>
        </w:rPr>
        <w:t>泃</w:t>
      </w:r>
      <w:r>
        <w:rPr>
          <w:rFonts w:eastAsia="仿宋_GB2312" w:cs="Times New Roman"/>
          <w:color w:val="000000"/>
          <w:sz w:val="32"/>
          <w:szCs w:val="32"/>
        </w:rPr>
        <w:t>河及主要支流分散污水治理工程”项目内容。</w:t>
      </w:r>
    </w:p>
    <w:p>
      <w:pPr>
        <w:autoSpaceDN w:val="0"/>
        <w:adjustRightInd w:val="0"/>
        <w:snapToGrid w:val="0"/>
        <w:spacing w:line="600" w:lineRule="exact"/>
        <w:ind w:firstLine="640"/>
        <w:rPr>
          <w:rFonts w:eastAsia="仿宋_GB2312" w:cs="Times New Roman"/>
          <w:color w:val="000000"/>
          <w:spacing w:val="-10"/>
          <w:sz w:val="32"/>
          <w:szCs w:val="32"/>
        </w:rPr>
      </w:pPr>
      <w:r>
        <w:rPr>
          <w:rFonts w:eastAsia="仿宋_GB2312" w:cs="Times New Roman"/>
          <w:color w:val="000000"/>
          <w:sz w:val="32"/>
          <w:szCs w:val="32"/>
        </w:rPr>
        <w:t>（3）</w:t>
      </w:r>
      <w:r>
        <w:rPr>
          <w:rFonts w:eastAsia="仿宋" w:cs="Times New Roman"/>
          <w:color w:val="000000"/>
          <w:spacing w:val="-10"/>
          <w:sz w:val="32"/>
          <w:szCs w:val="32"/>
        </w:rPr>
        <w:t>泃</w:t>
      </w:r>
      <w:r>
        <w:rPr>
          <w:rFonts w:eastAsia="仿宋_GB2312" w:cs="Times New Roman"/>
          <w:color w:val="000000"/>
          <w:spacing w:val="-10"/>
          <w:sz w:val="32"/>
          <w:szCs w:val="32"/>
        </w:rPr>
        <w:t>河、红一支、红二支沿岸村庄垃圾收集站建设工程3项</w:t>
      </w:r>
    </w:p>
    <w:p>
      <w:pPr>
        <w:autoSpaceDN w:val="0"/>
        <w:adjustRightInd w:val="0"/>
        <w:snapToGrid w:val="0"/>
        <w:spacing w:line="600" w:lineRule="exact"/>
        <w:ind w:firstLine="616"/>
        <w:rPr>
          <w:rFonts w:cs="Times New Roman"/>
          <w:spacing w:val="-6"/>
        </w:rPr>
      </w:pPr>
      <w:r>
        <w:rPr>
          <w:rFonts w:eastAsia="仿宋_GB2312" w:cs="Times New Roman"/>
          <w:color w:val="000000"/>
          <w:spacing w:val="-6"/>
          <w:sz w:val="32"/>
          <w:szCs w:val="32"/>
        </w:rPr>
        <w:t>目前，三河市采用市场化运作方式，引入北京环卫集团，统一负责农村垃圾的清扫清运和环卫保洁工作，</w:t>
      </w:r>
      <w:r>
        <w:rPr>
          <w:rFonts w:eastAsia="仿宋" w:cs="Times New Roman"/>
          <w:color w:val="000000"/>
          <w:spacing w:val="-6"/>
          <w:sz w:val="32"/>
          <w:szCs w:val="32"/>
        </w:rPr>
        <w:t>泃</w:t>
      </w:r>
      <w:r>
        <w:rPr>
          <w:rFonts w:eastAsia="仿宋_GB2312" w:cs="Times New Roman"/>
          <w:color w:val="000000"/>
          <w:spacing w:val="-6"/>
          <w:sz w:val="32"/>
          <w:szCs w:val="32"/>
        </w:rPr>
        <w:t>河、红一支、红二支沿岸村庄根据需要配建了垃圾桶、垃圾箱，实现垃圾日产日清。故建议调整“</w:t>
      </w:r>
      <w:r>
        <w:rPr>
          <w:rFonts w:eastAsia="仿宋" w:cs="Times New Roman"/>
          <w:color w:val="000000"/>
          <w:spacing w:val="-6"/>
          <w:sz w:val="32"/>
          <w:szCs w:val="32"/>
        </w:rPr>
        <w:t>泃</w:t>
      </w:r>
      <w:r>
        <w:rPr>
          <w:rFonts w:eastAsia="仿宋_GB2312" w:cs="Times New Roman"/>
          <w:color w:val="000000"/>
          <w:spacing w:val="-6"/>
          <w:sz w:val="32"/>
          <w:szCs w:val="32"/>
        </w:rPr>
        <w:t>河沿岸村庄垃圾收集站建设”、“红一支沿岸村庄垃圾收集站建设”和“红二支沿岸村庄垃圾收集站建设”项目内容。</w:t>
      </w:r>
    </w:p>
    <w:p>
      <w:pPr>
        <w:pStyle w:val="2"/>
        <w:spacing w:line="600" w:lineRule="exact"/>
        <w:ind w:firstLine="640"/>
      </w:pPr>
      <w:bookmarkStart w:id="74" w:name="_Toc23788326"/>
      <w:r>
        <w:t>六、水环境问题识别</w:t>
      </w:r>
      <w:bookmarkEnd w:id="74"/>
    </w:p>
    <w:p>
      <w:pPr>
        <w:pStyle w:val="3"/>
        <w:spacing w:line="600" w:lineRule="exact"/>
        <w:ind w:firstLine="643"/>
        <w:rPr>
          <w:rFonts w:eastAsia="楷体_GB2312"/>
        </w:rPr>
      </w:pPr>
      <w:bookmarkStart w:id="75" w:name="_Toc467753424"/>
      <w:bookmarkStart w:id="76" w:name="_Toc23788327"/>
      <w:r>
        <w:rPr>
          <w:rFonts w:eastAsia="楷体_GB2312"/>
        </w:rPr>
        <w:t>6.1水资源量短缺，水体自净能力欠佳</w:t>
      </w:r>
      <w:bookmarkEnd w:id="75"/>
      <w:bookmarkEnd w:id="76"/>
    </w:p>
    <w:p>
      <w:pPr>
        <w:autoSpaceDN w:val="0"/>
        <w:adjustRightInd w:val="0"/>
        <w:snapToGrid w:val="0"/>
        <w:spacing w:line="600" w:lineRule="exact"/>
        <w:ind w:firstLine="640"/>
        <w:rPr>
          <w:rFonts w:eastAsia="仿宋_GB2312" w:cs="Times New Roman"/>
          <w:sz w:val="32"/>
          <w:szCs w:val="32"/>
        </w:rPr>
      </w:pPr>
      <w:r>
        <w:rPr>
          <w:rFonts w:eastAsia="仿宋_GB2312" w:cs="Times New Roman"/>
          <w:sz w:val="32"/>
          <w:szCs w:val="32"/>
        </w:rPr>
        <w:t>三河市水资源量短缺，三河市人均水资源量约为全国平均值的1/10，低于全省人均水平。三河市水源来源单一，主要来源于本区降水，且降雨分布不均，水量主要集中在6</w:t>
      </w:r>
      <w:r>
        <w:rPr>
          <w:rFonts w:hint="eastAsia" w:eastAsia="仿宋_GB2312" w:cs="Times New Roman"/>
          <w:sz w:val="32"/>
          <w:szCs w:val="32"/>
        </w:rPr>
        <w:t>—</w:t>
      </w:r>
      <w:r>
        <w:rPr>
          <w:rFonts w:eastAsia="仿宋_GB2312" w:cs="Times New Roman"/>
          <w:sz w:val="32"/>
          <w:szCs w:val="32"/>
        </w:rPr>
        <w:t>9月份，汛期降水量占全年降水量的74.1%。</w:t>
      </w:r>
      <w:r>
        <w:rPr>
          <w:rFonts w:eastAsia="仿宋" w:cs="Times New Roman"/>
          <w:sz w:val="32"/>
          <w:szCs w:val="32"/>
        </w:rPr>
        <w:t>泃</w:t>
      </w:r>
      <w:r>
        <w:rPr>
          <w:rFonts w:eastAsia="仿宋_GB2312" w:cs="Times New Roman"/>
          <w:spacing w:val="-4"/>
          <w:sz w:val="32"/>
          <w:szCs w:val="32"/>
        </w:rPr>
        <w:t>河为季节性河流，水资源量年际变化较大，一年当中汛期与非汛期差异较大，目前主要依靠自然降水及市区污水厂处理后的尾水补给河道用水。由于水资源量短缺，水质改善困难较大。</w:t>
      </w:r>
    </w:p>
    <w:p>
      <w:pPr>
        <w:pStyle w:val="3"/>
        <w:spacing w:line="600" w:lineRule="exact"/>
        <w:ind w:firstLine="643"/>
        <w:rPr>
          <w:rFonts w:eastAsia="楷体_GB2312"/>
        </w:rPr>
      </w:pPr>
      <w:bookmarkStart w:id="77" w:name="_Toc467753425"/>
      <w:bookmarkStart w:id="78" w:name="_Toc23788328"/>
      <w:r>
        <w:rPr>
          <w:rFonts w:eastAsia="楷体_GB2312"/>
        </w:rPr>
        <w:t>6.2集中式污水管网不完善，</w:t>
      </w:r>
      <w:bookmarkEnd w:id="77"/>
      <w:r>
        <w:rPr>
          <w:rFonts w:eastAsia="楷体_GB2312"/>
        </w:rPr>
        <w:t>初期雨水对水质污染较大</w:t>
      </w:r>
      <w:bookmarkEnd w:id="78"/>
    </w:p>
    <w:p>
      <w:pPr>
        <w:pStyle w:val="14"/>
        <w:autoSpaceDN w:val="0"/>
        <w:adjustRightInd w:val="0"/>
        <w:snapToGrid w:val="0"/>
        <w:spacing w:line="600" w:lineRule="exact"/>
        <w:ind w:firstLine="640"/>
        <w:rPr>
          <w:rFonts w:ascii="Times New Roman" w:hAnsi="Times New Roman" w:eastAsia="仿宋_GB2312"/>
          <w:sz w:val="32"/>
          <w:szCs w:val="32"/>
        </w:rPr>
      </w:pPr>
      <w:r>
        <w:rPr>
          <w:rFonts w:ascii="Times New Roman" w:hAnsi="Times New Roman" w:eastAsia="仿宋_GB2312"/>
          <w:sz w:val="32"/>
          <w:szCs w:val="32"/>
        </w:rPr>
        <w:t>根据实际调研情况与水质测定数据分析，</w:t>
      </w:r>
      <w:r>
        <w:rPr>
          <w:rFonts w:ascii="Times New Roman" w:hAnsi="Times New Roman" w:eastAsia="仿宋"/>
          <w:sz w:val="32"/>
          <w:szCs w:val="32"/>
        </w:rPr>
        <w:t>泃</w:t>
      </w:r>
      <w:r>
        <w:rPr>
          <w:rFonts w:ascii="Times New Roman" w:hAnsi="Times New Roman" w:eastAsia="仿宋_GB2312"/>
          <w:sz w:val="32"/>
          <w:szCs w:val="32"/>
        </w:rPr>
        <w:t>河流域全程整体为V类至劣V类水体，且愈到市区段水质超标愈加严重，到市区出口的东外环桥、沿口桥水质指标中COD、氨氮和总磷有超标情况。市区段超标的主要原因是由于市区污水管网还存在不完善的地方，生活污水存在溢流、直排现象。</w:t>
      </w:r>
      <w:r>
        <w:rPr>
          <w:rFonts w:ascii="Times New Roman" w:hAnsi="Times New Roman" w:eastAsia="仿宋"/>
          <w:sz w:val="32"/>
          <w:szCs w:val="32"/>
        </w:rPr>
        <w:t>泃</w:t>
      </w:r>
      <w:r>
        <w:rPr>
          <w:rFonts w:ascii="Times New Roman" w:hAnsi="Times New Roman" w:eastAsia="仿宋_GB2312"/>
          <w:sz w:val="32"/>
          <w:szCs w:val="32"/>
        </w:rPr>
        <w:t>河流域雨污分流管网建设不完善，导致雨天污水溢流，同时初期雨水未得到有效收集直接入河，对水质产生一定影响。</w:t>
      </w:r>
    </w:p>
    <w:p>
      <w:pPr>
        <w:pStyle w:val="3"/>
        <w:spacing w:line="600" w:lineRule="exact"/>
        <w:ind w:firstLine="643"/>
        <w:rPr>
          <w:rFonts w:eastAsia="楷体_GB2312"/>
        </w:rPr>
      </w:pPr>
      <w:bookmarkStart w:id="79" w:name="_Toc467753426"/>
      <w:bookmarkStart w:id="80" w:name="_Toc23788329"/>
      <w:r>
        <w:rPr>
          <w:rFonts w:eastAsia="楷体_GB2312"/>
        </w:rPr>
        <w:t>6.3农村生活污水、垃圾污染，严重影响地表水水质</w:t>
      </w:r>
      <w:bookmarkEnd w:id="79"/>
      <w:bookmarkEnd w:id="80"/>
    </w:p>
    <w:p>
      <w:pPr>
        <w:pStyle w:val="14"/>
        <w:autoSpaceDN w:val="0"/>
        <w:adjustRightInd w:val="0"/>
        <w:snapToGrid w:val="0"/>
        <w:spacing w:line="600" w:lineRule="exact"/>
        <w:ind w:firstLine="640"/>
        <w:rPr>
          <w:rFonts w:ascii="Times New Roman" w:hAnsi="Times New Roman" w:eastAsia="仿宋_GB2312"/>
          <w:sz w:val="32"/>
          <w:szCs w:val="32"/>
        </w:rPr>
      </w:pPr>
      <w:r>
        <w:rPr>
          <w:rFonts w:ascii="Times New Roman" w:hAnsi="Times New Roman" w:eastAsia="仿宋_GB2312"/>
          <w:sz w:val="32"/>
          <w:szCs w:val="32"/>
        </w:rPr>
        <w:t>三河市农村的生活污水目前基本没有得到有效收集处理，而是随意倾倒，一些沿岸粪污随意倾倒到农田沟渠等，生活污染物直排入河。三河市区部分沿岸村庄，上游北务村、双村等村庄，下游西营、龙湾等村庄将生活垃圾在沿河及农田沟渠多处随意堆放，不仅侵占了土地，甚至有些直接堆放入河，导致生活垃圾污染严重，影响</w:t>
      </w:r>
      <w:r>
        <w:rPr>
          <w:rFonts w:ascii="Times New Roman" w:hAnsi="Times New Roman" w:eastAsia="仿宋"/>
          <w:sz w:val="32"/>
          <w:szCs w:val="32"/>
        </w:rPr>
        <w:t>泃</w:t>
      </w:r>
      <w:r>
        <w:rPr>
          <w:rFonts w:ascii="Times New Roman" w:hAnsi="Times New Roman" w:eastAsia="仿宋_GB2312"/>
          <w:sz w:val="32"/>
          <w:szCs w:val="32"/>
        </w:rPr>
        <w:t>河沿岸水质。</w:t>
      </w:r>
    </w:p>
    <w:p>
      <w:pPr>
        <w:pStyle w:val="3"/>
        <w:spacing w:line="600" w:lineRule="exact"/>
        <w:ind w:firstLine="643"/>
        <w:rPr>
          <w:rFonts w:eastAsia="楷体_GB2312"/>
        </w:rPr>
      </w:pPr>
      <w:bookmarkStart w:id="81" w:name="_Toc23788330"/>
      <w:r>
        <w:rPr>
          <w:rFonts w:eastAsia="楷体_GB2312"/>
        </w:rPr>
        <w:t>6.4水体流动性差，夏季藻类大量生长对水质影响不容忽视</w:t>
      </w:r>
      <w:bookmarkEnd w:id="81"/>
    </w:p>
    <w:p>
      <w:pPr>
        <w:pStyle w:val="14"/>
        <w:autoSpaceDN w:val="0"/>
        <w:adjustRightInd w:val="0"/>
        <w:snapToGrid w:val="0"/>
        <w:spacing w:line="600" w:lineRule="exact"/>
        <w:ind w:firstLine="640"/>
        <w:rPr>
          <w:rFonts w:ascii="Times New Roman" w:hAnsi="Times New Roman" w:eastAsia="仿宋_GB2312"/>
          <w:sz w:val="32"/>
          <w:szCs w:val="32"/>
        </w:rPr>
      </w:pPr>
      <w:r>
        <w:rPr>
          <w:rFonts w:ascii="Times New Roman" w:hAnsi="Times New Roman" w:eastAsia="仿宋"/>
          <w:sz w:val="32"/>
          <w:szCs w:val="32"/>
        </w:rPr>
        <w:t>泃</w:t>
      </w:r>
      <w:r>
        <w:rPr>
          <w:rFonts w:ascii="Times New Roman" w:hAnsi="Times New Roman" w:eastAsia="仿宋_GB2312"/>
          <w:sz w:val="32"/>
          <w:szCs w:val="32"/>
        </w:rPr>
        <w:t>河由于下游天津闸门的控制，水体自然流动被隔断，导致水体流动性差，水质净化能力降低。同时由于水体的长期不流动，导致考核断面上游河段水体出现富营养化状态，且出现了湖库水体才有的微囊藻，夏季高温季节甚至出现了藻类大量生长的现象，严重影响了河段水质。2019年6月水质监测分析，三河东大桥断面叶绿素浓度达106μg/L，藻类生物量为65mg/L，浮游藻类数量在三河东大桥达到8千万个/升以上；藻细胞数的结果表明，绿藻和硅藻为优势类群，</w:t>
      </w:r>
      <w:r>
        <w:rPr>
          <w:rFonts w:ascii="Times New Roman" w:hAnsi="Times New Roman" w:eastAsia="仿宋_GB2312"/>
          <w:sz w:val="32"/>
        </w:rPr>
        <w:t>同时出现了大量蓝藻，蓝藻优势种（微囊藻、束丝藻）是我国富营养化湖泊蓝藻水华的常见优势种。相关研究表明藻类大量增殖，需要消耗水体中CO</w:t>
      </w:r>
      <w:r>
        <w:rPr>
          <w:rFonts w:ascii="Times New Roman" w:hAnsi="Times New Roman" w:eastAsia="仿宋_GB2312"/>
          <w:sz w:val="32"/>
          <w:vertAlign w:val="subscript"/>
        </w:rPr>
        <w:softHyphen/>
      </w:r>
      <w:r>
        <w:rPr>
          <w:rFonts w:ascii="Times New Roman" w:hAnsi="Times New Roman" w:eastAsia="仿宋_GB2312"/>
          <w:sz w:val="32"/>
          <w:vertAlign w:val="subscript"/>
        </w:rPr>
        <w:t>2</w:t>
      </w:r>
      <w:r>
        <w:rPr>
          <w:rFonts w:ascii="Times New Roman" w:hAnsi="Times New Roman" w:eastAsia="仿宋_GB2312"/>
          <w:sz w:val="32"/>
        </w:rPr>
        <w:t>，导致pH值上升，进而会促进沉积物磷释放，增加水体TP含量；同时水体中藻类的含量又会增加水体中化学需氧量的含量。</w:t>
      </w:r>
    </w:p>
    <w:p>
      <w:pPr>
        <w:pStyle w:val="2"/>
        <w:spacing w:line="600" w:lineRule="exact"/>
        <w:ind w:firstLine="640"/>
      </w:pPr>
      <w:bookmarkStart w:id="82" w:name="_Toc467753432"/>
      <w:bookmarkStart w:id="83" w:name="_Toc23788331"/>
      <w:r>
        <w:t>七、</w:t>
      </w:r>
      <w:bookmarkEnd w:id="82"/>
      <w:r>
        <w:t>重点任务</w:t>
      </w:r>
      <w:bookmarkEnd w:id="83"/>
    </w:p>
    <w:p>
      <w:pPr>
        <w:pStyle w:val="3"/>
        <w:spacing w:line="600" w:lineRule="exact"/>
        <w:ind w:firstLine="643"/>
        <w:rPr>
          <w:rFonts w:eastAsia="楷体_GB2312"/>
        </w:rPr>
      </w:pPr>
      <w:bookmarkStart w:id="84" w:name="_Toc23788332"/>
      <w:bookmarkStart w:id="85" w:name="_Toc467753433"/>
      <w:r>
        <w:rPr>
          <w:rFonts w:eastAsia="楷体_GB2312"/>
        </w:rPr>
        <w:t>7.1工业企业达标监管</w:t>
      </w:r>
      <w:bookmarkEnd w:id="84"/>
    </w:p>
    <w:p>
      <w:pPr>
        <w:pStyle w:val="4"/>
        <w:spacing w:line="600" w:lineRule="exact"/>
        <w:ind w:firstLine="643"/>
      </w:pPr>
      <w:bookmarkStart w:id="86" w:name="_Toc23788333"/>
      <w:r>
        <w:t>7.1.1加强工业污染源排放情况监管</w:t>
      </w:r>
      <w:bookmarkEnd w:id="86"/>
    </w:p>
    <w:p>
      <w:pPr>
        <w:adjustRightInd w:val="0"/>
        <w:snapToGrid w:val="0"/>
        <w:spacing w:line="600" w:lineRule="exact"/>
        <w:ind w:firstLine="640"/>
        <w:rPr>
          <w:rFonts w:eastAsia="仿宋_GB2312" w:cs="Times New Roman"/>
          <w:sz w:val="32"/>
          <w:szCs w:val="32"/>
        </w:rPr>
      </w:pPr>
      <w:r>
        <w:rPr>
          <w:rFonts w:eastAsia="仿宋_GB2312" w:cs="Times New Roman"/>
          <w:sz w:val="32"/>
          <w:szCs w:val="32"/>
        </w:rPr>
        <w:t>持续推进“散乱污”企业的治理，全面排查工业污染源超标排放、偷排偷放等问题；重点排污单位全部安装自动在线监测设备并同生态环境主管部门联网，依法公开排污信息。根据区域污染排放特点及环境质量改善要求，逐步将所有工业污染源纳入在线监测范围，及时发现企业超标排放行为。深化网格化监管制度，将监管责任落实到具体责任人，全面落实“双随机”制度，加强日常环境执法工作。</w:t>
      </w:r>
    </w:p>
    <w:p>
      <w:pPr>
        <w:pStyle w:val="4"/>
        <w:spacing w:line="600" w:lineRule="exact"/>
        <w:ind w:firstLine="643"/>
      </w:pPr>
      <w:bookmarkStart w:id="87" w:name="_Toc23788334"/>
      <w:r>
        <w:t>7.1.2加大超标排放整治力度</w:t>
      </w:r>
      <w:bookmarkEnd w:id="87"/>
    </w:p>
    <w:p>
      <w:pPr>
        <w:adjustRightInd w:val="0"/>
        <w:snapToGrid w:val="0"/>
        <w:spacing w:line="600" w:lineRule="exact"/>
        <w:ind w:firstLine="640"/>
        <w:rPr>
          <w:rFonts w:eastAsia="仿宋_GB2312" w:cs="Times New Roman"/>
          <w:sz w:val="32"/>
          <w:szCs w:val="32"/>
        </w:rPr>
      </w:pPr>
      <w:r>
        <w:rPr>
          <w:rFonts w:eastAsia="仿宋_GB2312" w:cs="Times New Roman"/>
          <w:sz w:val="32"/>
          <w:szCs w:val="32"/>
        </w:rPr>
        <w:t>对超标和超总量排放的企业予以“黄牌”警示，一律限制生产或停产整治，明确落实整改的措施、责任和时限；对整治仍不能达到要求且情节严重的企业予以“红牌”处罚，依法责令限期停业、关闭。持续保持环境执法高压态势，依法严肃查处偷排偷放、数据造假、屡查屡犯的企业；对涉嫌犯罪的人员，依法移送司法机关；及时向社会公布违法企业及其法人和主要责任人名单、违法事实和处罚措施等信息。</w:t>
      </w:r>
    </w:p>
    <w:p>
      <w:pPr>
        <w:pStyle w:val="3"/>
        <w:spacing w:line="600" w:lineRule="exact"/>
        <w:ind w:firstLine="643"/>
        <w:rPr>
          <w:rFonts w:eastAsia="楷体_GB2312"/>
        </w:rPr>
      </w:pPr>
      <w:bookmarkStart w:id="88" w:name="_Toc23788335"/>
      <w:r>
        <w:rPr>
          <w:rFonts w:eastAsia="楷体_GB2312"/>
        </w:rPr>
        <w:t>7.2城区生活污染治理</w:t>
      </w:r>
      <w:bookmarkEnd w:id="85"/>
      <w:bookmarkEnd w:id="88"/>
    </w:p>
    <w:p>
      <w:pPr>
        <w:pStyle w:val="4"/>
        <w:spacing w:line="600" w:lineRule="exact"/>
        <w:ind w:firstLine="643"/>
      </w:pPr>
      <w:bookmarkStart w:id="89" w:name="_Toc23788336"/>
      <w:r>
        <w:t>7.2.1优化整合污水处理厂运行调度</w:t>
      </w:r>
      <w:bookmarkEnd w:id="89"/>
    </w:p>
    <w:p>
      <w:pPr>
        <w:pStyle w:val="14"/>
        <w:autoSpaceDN w:val="0"/>
        <w:adjustRightInd w:val="0"/>
        <w:snapToGrid w:val="0"/>
        <w:spacing w:line="600" w:lineRule="exact"/>
        <w:ind w:firstLine="640"/>
        <w:rPr>
          <w:rFonts w:ascii="Times New Roman" w:hAnsi="Times New Roman" w:eastAsia="仿宋_GB2312"/>
          <w:sz w:val="32"/>
          <w:szCs w:val="32"/>
        </w:rPr>
      </w:pPr>
      <w:r>
        <w:rPr>
          <w:rFonts w:ascii="Times New Roman" w:hAnsi="Times New Roman" w:eastAsia="仿宋_GB2312"/>
          <w:sz w:val="32"/>
          <w:szCs w:val="32"/>
        </w:rPr>
        <w:t>加快打通南城、北城污水处理厂管网与东南污水处理厂和经开区污水处理厂管网互联互通，推进以城区东南污水处理厂和经开区污水处理厂处理城区生活污水为主，优化整合南城、北城污水处理厂的运行调度，逐步提高三河市城区东南污水处理厂和经开区污水处理厂进水负荷，降低南城、北城污水处理厂进水负荷。近期在城区逐步形成以城区东南污水处理厂和经开区污水处理厂为主，南城、北城污水处理厂为辅的“两主两应急”的城区污水处理设施运行模式，远期条件成熟时，逐步取消南城、北城污水处理厂的运营。</w:t>
      </w:r>
    </w:p>
    <w:p>
      <w:pPr>
        <w:pStyle w:val="4"/>
        <w:spacing w:line="600" w:lineRule="exact"/>
        <w:ind w:firstLine="643"/>
      </w:pPr>
      <w:bookmarkStart w:id="90" w:name="_Toc23788337"/>
      <w:r>
        <w:t>7.2.2加强污水处理厂运营维护</w:t>
      </w:r>
      <w:bookmarkEnd w:id="90"/>
    </w:p>
    <w:p>
      <w:pPr>
        <w:adjustRightInd w:val="0"/>
        <w:snapToGrid w:val="0"/>
        <w:spacing w:line="600" w:lineRule="exact"/>
        <w:ind w:firstLine="640"/>
        <w:rPr>
          <w:rFonts w:eastAsia="仿宋_GB2312" w:cs="Times New Roman"/>
          <w:sz w:val="32"/>
          <w:szCs w:val="32"/>
        </w:rPr>
      </w:pPr>
      <w:r>
        <w:rPr>
          <w:rFonts w:eastAsia="仿宋_GB2312" w:cs="Times New Roman"/>
          <w:sz w:val="32"/>
          <w:szCs w:val="32"/>
        </w:rPr>
        <w:t>加快城区东南污水处理厂和经开区污水处理厂厂区相关配套设施建设和运营人员配备，尽快完成相关验收工作。加强城区东南污水处理厂和经开区污水处理厂的运营维护，提高污水处理厂抗冲击负荷能力，保障雨季出水水质稳定达标。密切关注污水处理厂出水水质状况，及时对在线监测数据异常数据情况进行处理，确保污水处理厂出水稳定达标排放。全面加强东南污水处理厂和经开区污水处理厂总氮、总磷排放的监测与统计，将总氮、总磷作为日常监管指标。</w:t>
      </w:r>
    </w:p>
    <w:p>
      <w:pPr>
        <w:pStyle w:val="4"/>
        <w:spacing w:line="600" w:lineRule="exact"/>
        <w:ind w:firstLine="643"/>
      </w:pPr>
      <w:bookmarkStart w:id="91" w:name="_Toc23788338"/>
      <w:r>
        <w:t>7.2.3提高污水处理厂再生水利用率</w:t>
      </w:r>
      <w:bookmarkEnd w:id="91"/>
    </w:p>
    <w:p>
      <w:pPr>
        <w:pStyle w:val="14"/>
        <w:autoSpaceDN w:val="0"/>
        <w:adjustRightInd w:val="0"/>
        <w:snapToGrid w:val="0"/>
        <w:spacing w:line="600" w:lineRule="exact"/>
        <w:ind w:firstLine="640"/>
        <w:rPr>
          <w:rFonts w:ascii="Times New Roman" w:hAnsi="Times New Roman" w:eastAsia="仿宋_GB2312"/>
          <w:sz w:val="32"/>
          <w:szCs w:val="32"/>
        </w:rPr>
      </w:pPr>
      <w:r>
        <w:rPr>
          <w:rFonts w:ascii="Times New Roman" w:hAnsi="Times New Roman" w:eastAsia="仿宋_GB2312"/>
          <w:sz w:val="32"/>
          <w:szCs w:val="32"/>
        </w:rPr>
        <w:t>逐步提高污水处理厂再生水利用率，推进污水处理厂再生水循环利用。加快冯庄子灌渠和红娘港两道中水回用干管等中水管网建设，将城区东南污水处理厂和经开区污水处理厂处理后排水用于补充河道生态用水。</w:t>
      </w:r>
    </w:p>
    <w:p>
      <w:pPr>
        <w:pStyle w:val="4"/>
        <w:spacing w:line="600" w:lineRule="exact"/>
        <w:ind w:firstLine="643"/>
      </w:pPr>
      <w:bookmarkStart w:id="92" w:name="_Toc23788339"/>
      <w:bookmarkStart w:id="93" w:name="_Toc467753436"/>
      <w:r>
        <w:t>7.2.4完善污水配套管网及雨污分流改造</w:t>
      </w:r>
      <w:bookmarkEnd w:id="92"/>
    </w:p>
    <w:p>
      <w:pPr>
        <w:pStyle w:val="14"/>
        <w:autoSpaceDN w:val="0"/>
        <w:adjustRightInd w:val="0"/>
        <w:snapToGrid w:val="0"/>
        <w:spacing w:line="600" w:lineRule="exact"/>
        <w:ind w:firstLine="640"/>
        <w:rPr>
          <w:rFonts w:ascii="Times New Roman" w:hAnsi="Times New Roman" w:eastAsia="仿宋_GB2312"/>
          <w:spacing w:val="-6"/>
          <w:sz w:val="32"/>
          <w:szCs w:val="32"/>
        </w:rPr>
      </w:pPr>
      <w:r>
        <w:rPr>
          <w:rFonts w:ascii="Times New Roman" w:hAnsi="Times New Roman" w:eastAsia="仿宋_GB2312"/>
          <w:sz w:val="32"/>
          <w:szCs w:val="32"/>
        </w:rPr>
        <w:t>加大城市污水配套管网建设投入力度，完善污水处理厂配套管网、截污管网建设和雨污分流管网改造。加快完成南、北外环污水管网建设，加快推进</w:t>
      </w:r>
      <w:r>
        <w:rPr>
          <w:rFonts w:ascii="Times New Roman" w:hAnsi="Times New Roman" w:eastAsia="仿宋"/>
          <w:sz w:val="32"/>
          <w:szCs w:val="32"/>
        </w:rPr>
        <w:t>泃</w:t>
      </w:r>
      <w:r>
        <w:rPr>
          <w:rFonts w:ascii="Times New Roman" w:hAnsi="Times New Roman" w:eastAsia="仿宋_GB2312"/>
          <w:sz w:val="32"/>
          <w:szCs w:val="32"/>
        </w:rPr>
        <w:t>阳大街至南环路段、鼎盛街至南环路段、纵八路、华泰街、府北路至</w:t>
      </w:r>
      <w:r>
        <w:rPr>
          <w:rFonts w:ascii="Times New Roman" w:hAnsi="Times New Roman" w:eastAsia="仿宋"/>
          <w:sz w:val="32"/>
          <w:szCs w:val="32"/>
        </w:rPr>
        <w:t>泃</w:t>
      </w:r>
      <w:r>
        <w:rPr>
          <w:rFonts w:ascii="Times New Roman" w:hAnsi="Times New Roman" w:eastAsia="仿宋_GB2312"/>
          <w:sz w:val="32"/>
          <w:szCs w:val="32"/>
        </w:rPr>
        <w:t>阳大街、南环路至府北街、东环路至密三路、北外环（东环路至西环路）、东环路（北环路至东环桥）、西环路南段、育才路南段、府东路北段等路段雨污分流管网改造。完善城区东南污水处理厂和经开区污水处理厂配套管网和</w:t>
      </w:r>
      <w:r>
        <w:rPr>
          <w:rFonts w:ascii="Times New Roman" w:hAnsi="Times New Roman" w:eastAsia="仿宋"/>
          <w:sz w:val="32"/>
          <w:szCs w:val="32"/>
        </w:rPr>
        <w:t>泃</w:t>
      </w:r>
      <w:r>
        <w:rPr>
          <w:rFonts w:ascii="Times New Roman" w:hAnsi="Times New Roman" w:eastAsia="仿宋_GB2312"/>
          <w:sz w:val="32"/>
          <w:szCs w:val="32"/>
        </w:rPr>
        <w:t>河沿岸截污干管建设，加快推进冯庄子灌渠和红娘港一支沿河截污干管建设。</w:t>
      </w:r>
      <w:bookmarkEnd w:id="93"/>
      <w:bookmarkStart w:id="94" w:name="_Toc467753438"/>
      <w:r>
        <w:rPr>
          <w:rFonts w:ascii="Times New Roman" w:hAnsi="Times New Roman" w:eastAsia="仿宋_GB2312"/>
          <w:sz w:val="32"/>
          <w:szCs w:val="32"/>
        </w:rPr>
        <w:t>强化</w:t>
      </w:r>
      <w:r>
        <w:rPr>
          <w:rFonts w:ascii="Times New Roman" w:hAnsi="Times New Roman" w:eastAsia="仿宋"/>
          <w:sz w:val="32"/>
          <w:szCs w:val="32"/>
        </w:rPr>
        <w:t>泃</w:t>
      </w:r>
      <w:r>
        <w:rPr>
          <w:rFonts w:ascii="Times New Roman" w:hAnsi="Times New Roman" w:eastAsia="仿宋_GB2312"/>
          <w:sz w:val="32"/>
          <w:szCs w:val="32"/>
        </w:rPr>
        <w:t>河沿岸污水管网、提升泵站的巡查与修复，减少跑、冒、漏、滴现象发生。</w:t>
      </w:r>
      <w:bookmarkEnd w:id="94"/>
      <w:r>
        <w:rPr>
          <w:rFonts w:ascii="Times New Roman" w:hAnsi="Times New Roman" w:eastAsia="仿宋_GB2312"/>
          <w:spacing w:val="-6"/>
          <w:sz w:val="32"/>
          <w:szCs w:val="32"/>
        </w:rPr>
        <w:t>制定市区初期污水冲击负荷防控方案，通过建设初期雨水拦截设施或存储设施，加强初期雨水的收集处理，减少雨季初期雨水直排入河。</w:t>
      </w:r>
    </w:p>
    <w:p>
      <w:pPr>
        <w:pStyle w:val="3"/>
        <w:spacing w:line="600" w:lineRule="exact"/>
        <w:ind w:firstLine="643"/>
        <w:rPr>
          <w:rFonts w:eastAsia="楷体_GB2312"/>
        </w:rPr>
      </w:pPr>
      <w:bookmarkStart w:id="95" w:name="_Toc23788340"/>
      <w:bookmarkStart w:id="96" w:name="_Toc467753439"/>
      <w:r>
        <w:rPr>
          <w:rFonts w:eastAsia="楷体_GB2312"/>
        </w:rPr>
        <w:t>7.3农村生活源与面源污染综合治理</w:t>
      </w:r>
      <w:bookmarkEnd w:id="95"/>
      <w:bookmarkEnd w:id="96"/>
    </w:p>
    <w:p>
      <w:pPr>
        <w:pStyle w:val="4"/>
        <w:spacing w:line="600" w:lineRule="exact"/>
        <w:ind w:firstLine="643"/>
      </w:pPr>
      <w:bookmarkStart w:id="97" w:name="_Toc467753440"/>
      <w:bookmarkStart w:id="98" w:name="_Toc23788341"/>
      <w:r>
        <w:t>7.3.1因地制宜推进农村生活污水治理</w:t>
      </w:r>
      <w:bookmarkEnd w:id="97"/>
      <w:bookmarkEnd w:id="98"/>
    </w:p>
    <w:p>
      <w:pPr>
        <w:adjustRightInd w:val="0"/>
        <w:snapToGrid w:val="0"/>
        <w:spacing w:line="600" w:lineRule="exact"/>
        <w:ind w:firstLine="640"/>
        <w:rPr>
          <w:rFonts w:eastAsia="仿宋_GB2312" w:cs="Times New Roman"/>
          <w:sz w:val="32"/>
          <w:szCs w:val="32"/>
        </w:rPr>
      </w:pPr>
      <w:r>
        <w:rPr>
          <w:rFonts w:eastAsia="仿宋_GB2312" w:cs="Times New Roman"/>
          <w:sz w:val="32"/>
          <w:szCs w:val="32"/>
        </w:rPr>
        <w:t>结合农村人居环境综合整治，实施农村生活污水治理工程，根据村庄的分布、规模等情况，因地制宜采用庭院式污水处理、集中式小型污水处理设施处理、接入城镇污水处理厂集中处理等方式对</w:t>
      </w:r>
      <w:r>
        <w:rPr>
          <w:rFonts w:eastAsia="仿宋" w:cs="Times New Roman"/>
          <w:sz w:val="32"/>
          <w:szCs w:val="32"/>
        </w:rPr>
        <w:t>泃</w:t>
      </w:r>
      <w:r>
        <w:rPr>
          <w:rFonts w:eastAsia="仿宋_GB2312" w:cs="Times New Roman"/>
          <w:sz w:val="32"/>
          <w:szCs w:val="32"/>
        </w:rPr>
        <w:t>河沿岸村庄实施污水治理。上游主要针对红一支、红二支至沿口村段，下游主要针对小陈庄至</w:t>
      </w:r>
      <w:r>
        <w:rPr>
          <w:rFonts w:eastAsia="仿宋" w:cs="Times New Roman"/>
          <w:sz w:val="32"/>
          <w:szCs w:val="32"/>
        </w:rPr>
        <w:t>泃</w:t>
      </w:r>
      <w:r>
        <w:rPr>
          <w:rFonts w:eastAsia="仿宋_GB2312" w:cs="Times New Roman"/>
          <w:sz w:val="32"/>
          <w:szCs w:val="32"/>
        </w:rPr>
        <w:t>河末端桥头村沿岸村庄进行农村生活污水处理工程建设。</w:t>
      </w:r>
    </w:p>
    <w:p>
      <w:pPr>
        <w:spacing w:before="163" w:beforeLines="50" w:after="163" w:afterLines="50" w:line="590" w:lineRule="exact"/>
        <w:ind w:firstLine="0" w:firstLineChars="0"/>
        <w:jc w:val="center"/>
        <w:rPr>
          <w:rFonts w:ascii="黑体" w:hAnsi="黑体" w:eastAsia="黑体" w:cs="Times New Roman"/>
          <w:sz w:val="32"/>
          <w:szCs w:val="32"/>
        </w:rPr>
      </w:pPr>
      <w:r>
        <w:rPr>
          <w:rFonts w:ascii="黑体" w:hAnsi="黑体" w:eastAsia="黑体" w:cs="Times New Roman"/>
          <w:sz w:val="32"/>
          <w:szCs w:val="32"/>
        </w:rPr>
        <w:t>表3</w:t>
      </w:r>
      <w:r>
        <w:rPr>
          <w:rFonts w:hint="eastAsia" w:eastAsia="仿宋_GB2312" w:cs="Times New Roman"/>
          <w:sz w:val="32"/>
          <w:szCs w:val="32"/>
        </w:rPr>
        <w:t>-</w:t>
      </w:r>
      <w:r>
        <w:rPr>
          <w:rFonts w:ascii="黑体" w:hAnsi="黑体" w:eastAsia="黑体" w:cs="Times New Roman"/>
          <w:sz w:val="32"/>
          <w:szCs w:val="32"/>
        </w:rPr>
        <w:t>1</w:t>
      </w:r>
      <w:r>
        <w:rPr>
          <w:rFonts w:hint="eastAsia" w:ascii="黑体" w:hAnsi="黑体" w:eastAsia="黑体" w:cs="Times New Roman"/>
          <w:sz w:val="32"/>
          <w:szCs w:val="32"/>
        </w:rPr>
        <w:t xml:space="preserve"> </w:t>
      </w:r>
      <w:r>
        <w:rPr>
          <w:rFonts w:ascii="黑体" w:hAnsi="黑体" w:eastAsia="黑体" w:cs="Times New Roman"/>
          <w:sz w:val="32"/>
          <w:szCs w:val="32"/>
        </w:rPr>
        <w:t xml:space="preserve"> 农村污水处理设施建设</w:t>
      </w:r>
    </w:p>
    <w:tbl>
      <w:tblPr>
        <w:tblStyle w:val="13"/>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2"/>
        <w:gridCol w:w="1179"/>
        <w:gridCol w:w="2577"/>
        <w:gridCol w:w="38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tblHeader/>
          <w:jc w:val="center"/>
        </w:trPr>
        <w:tc>
          <w:tcPr>
            <w:tcW w:w="882" w:type="dxa"/>
            <w:vAlign w:val="center"/>
          </w:tcPr>
          <w:p>
            <w:pPr>
              <w:spacing w:line="240" w:lineRule="auto"/>
              <w:ind w:firstLine="0" w:firstLineChars="0"/>
              <w:jc w:val="center"/>
              <w:rPr>
                <w:rFonts w:eastAsia="仿宋_GB2312" w:cs="Times New Roman"/>
                <w:b/>
                <w:szCs w:val="24"/>
              </w:rPr>
            </w:pPr>
            <w:r>
              <w:rPr>
                <w:rFonts w:eastAsia="仿宋_GB2312" w:cs="Times New Roman"/>
                <w:b/>
                <w:szCs w:val="24"/>
              </w:rPr>
              <w:t>序号</w:t>
            </w:r>
          </w:p>
        </w:tc>
        <w:tc>
          <w:tcPr>
            <w:tcW w:w="1179" w:type="dxa"/>
            <w:vAlign w:val="center"/>
          </w:tcPr>
          <w:p>
            <w:pPr>
              <w:spacing w:line="240" w:lineRule="auto"/>
              <w:ind w:firstLine="0" w:firstLineChars="0"/>
              <w:jc w:val="center"/>
              <w:rPr>
                <w:rFonts w:eastAsia="仿宋_GB2312" w:cs="Times New Roman"/>
                <w:b/>
                <w:szCs w:val="24"/>
              </w:rPr>
            </w:pPr>
            <w:r>
              <w:rPr>
                <w:rFonts w:eastAsia="仿宋_GB2312" w:cs="Times New Roman"/>
                <w:b/>
                <w:szCs w:val="24"/>
              </w:rPr>
              <w:t>镇</w:t>
            </w:r>
          </w:p>
        </w:tc>
        <w:tc>
          <w:tcPr>
            <w:tcW w:w="2577" w:type="dxa"/>
            <w:vAlign w:val="center"/>
          </w:tcPr>
          <w:p>
            <w:pPr>
              <w:spacing w:line="240" w:lineRule="auto"/>
              <w:ind w:firstLine="0" w:firstLineChars="0"/>
              <w:jc w:val="center"/>
              <w:rPr>
                <w:rFonts w:eastAsia="仿宋_GB2312" w:cs="Times New Roman"/>
                <w:b/>
                <w:szCs w:val="24"/>
              </w:rPr>
            </w:pPr>
            <w:r>
              <w:rPr>
                <w:rFonts w:eastAsia="仿宋_GB2312" w:cs="Times New Roman"/>
                <w:b/>
                <w:szCs w:val="24"/>
              </w:rPr>
              <w:t>村庄名称</w:t>
            </w:r>
          </w:p>
        </w:tc>
        <w:tc>
          <w:tcPr>
            <w:tcW w:w="3884" w:type="dxa"/>
            <w:vAlign w:val="center"/>
          </w:tcPr>
          <w:p>
            <w:pPr>
              <w:spacing w:line="240" w:lineRule="auto"/>
              <w:ind w:firstLine="0" w:firstLineChars="0"/>
              <w:jc w:val="center"/>
              <w:rPr>
                <w:rFonts w:eastAsia="仿宋_GB2312" w:cs="Times New Roman"/>
                <w:b/>
                <w:szCs w:val="24"/>
              </w:rPr>
            </w:pPr>
            <w:r>
              <w:rPr>
                <w:rFonts w:eastAsia="仿宋_GB2312" w:cs="Times New Roman"/>
                <w:b/>
                <w:szCs w:val="24"/>
              </w:rPr>
              <w:t>污水处理模式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1</w:t>
            </w:r>
          </w:p>
        </w:tc>
        <w:tc>
          <w:tcPr>
            <w:tcW w:w="1179" w:type="dxa"/>
            <w:vMerge w:val="restart"/>
            <w:vAlign w:val="center"/>
          </w:tcPr>
          <w:p>
            <w:pPr>
              <w:spacing w:line="240" w:lineRule="auto"/>
              <w:ind w:firstLine="0" w:firstLineChars="0"/>
              <w:jc w:val="center"/>
              <w:rPr>
                <w:rFonts w:eastAsia="仿宋_GB2312" w:cs="Times New Roman"/>
                <w:szCs w:val="24"/>
              </w:rPr>
            </w:pPr>
            <w:r>
              <w:rPr>
                <w:rFonts w:ascii="仿宋" w:hAnsi="仿宋" w:eastAsia="仿宋" w:cs="Times New Roman"/>
                <w:szCs w:val="24"/>
              </w:rPr>
              <w:t>泃</w:t>
            </w:r>
            <w:r>
              <w:rPr>
                <w:rFonts w:eastAsia="仿宋_GB2312" w:cs="Times New Roman"/>
                <w:szCs w:val="24"/>
              </w:rPr>
              <w:t>阳镇</w:t>
            </w: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北务</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2</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沟北</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3</w:t>
            </w:r>
          </w:p>
        </w:tc>
        <w:tc>
          <w:tcPr>
            <w:tcW w:w="1179" w:type="dxa"/>
            <w:vMerge w:val="restart"/>
            <w:vAlign w:val="center"/>
          </w:tcPr>
          <w:p>
            <w:pPr>
              <w:spacing w:line="240" w:lineRule="auto"/>
              <w:ind w:firstLine="0" w:firstLineChars="0"/>
              <w:jc w:val="center"/>
              <w:rPr>
                <w:rFonts w:eastAsia="仿宋_GB2312" w:cs="Times New Roman"/>
                <w:szCs w:val="24"/>
              </w:rPr>
            </w:pPr>
            <w:r>
              <w:rPr>
                <w:rFonts w:eastAsia="仿宋_GB2312" w:cs="Times New Roman"/>
                <w:szCs w:val="24"/>
              </w:rPr>
              <w:t>黄土庄镇</w:t>
            </w: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大唐廻</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4</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山河营</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5</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双村</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6</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城子</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7</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季辛屯</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8</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后沿口</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9</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老辛庄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10</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北燕</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11</w:t>
            </w:r>
          </w:p>
        </w:tc>
        <w:tc>
          <w:tcPr>
            <w:tcW w:w="1179" w:type="dxa"/>
            <w:vMerge w:val="restart"/>
            <w:vAlign w:val="center"/>
          </w:tcPr>
          <w:p>
            <w:pPr>
              <w:spacing w:line="240" w:lineRule="auto"/>
              <w:ind w:firstLine="0" w:firstLineChars="0"/>
              <w:jc w:val="center"/>
              <w:rPr>
                <w:rFonts w:eastAsia="仿宋_GB2312" w:cs="Times New Roman"/>
                <w:szCs w:val="24"/>
              </w:rPr>
            </w:pPr>
            <w:r>
              <w:rPr>
                <w:rFonts w:eastAsia="仿宋_GB2312" w:cs="Times New Roman"/>
                <w:szCs w:val="24"/>
              </w:rPr>
              <w:t>黄土庄镇</w:t>
            </w: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孟各庄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12</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骆庄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13</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前沿口</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14</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小河沿</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15</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南燕村</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16</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西小汪</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17</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二百户</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18</w:t>
            </w:r>
          </w:p>
        </w:tc>
        <w:tc>
          <w:tcPr>
            <w:tcW w:w="1179"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李旗庄镇</w:t>
            </w: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查马坊</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通入市政管网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19</w:t>
            </w:r>
          </w:p>
        </w:tc>
        <w:tc>
          <w:tcPr>
            <w:tcW w:w="1179" w:type="dxa"/>
            <w:vMerge w:val="restart"/>
            <w:vAlign w:val="center"/>
          </w:tcPr>
          <w:p>
            <w:pPr>
              <w:spacing w:line="240" w:lineRule="auto"/>
              <w:ind w:firstLine="0" w:firstLineChars="0"/>
              <w:jc w:val="center"/>
              <w:rPr>
                <w:rFonts w:eastAsia="仿宋_GB2312" w:cs="Times New Roman"/>
                <w:szCs w:val="24"/>
              </w:rPr>
            </w:pPr>
            <w:r>
              <w:rPr>
                <w:rFonts w:eastAsia="仿宋_GB2312" w:cs="Times New Roman"/>
                <w:szCs w:val="24"/>
              </w:rPr>
              <w:t>杨庄镇</w:t>
            </w: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泗河</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20</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侯各庄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21</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大王各庄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22</w:t>
            </w:r>
          </w:p>
        </w:tc>
        <w:tc>
          <w:tcPr>
            <w:tcW w:w="1179" w:type="dxa"/>
            <w:vMerge w:val="restart"/>
            <w:vAlign w:val="center"/>
          </w:tcPr>
          <w:p>
            <w:pPr>
              <w:spacing w:line="240" w:lineRule="auto"/>
              <w:ind w:firstLine="0" w:firstLineChars="0"/>
              <w:jc w:val="center"/>
              <w:rPr>
                <w:rFonts w:eastAsia="仿宋_GB2312" w:cs="Times New Roman"/>
                <w:szCs w:val="24"/>
              </w:rPr>
            </w:pPr>
            <w:r>
              <w:rPr>
                <w:rFonts w:eastAsia="仿宋_GB2312" w:cs="Times New Roman"/>
                <w:szCs w:val="24"/>
              </w:rPr>
              <w:t>新集镇</w:t>
            </w: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胡元</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23</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邢元</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24</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回民队</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9"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25</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西门外</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26</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大王庄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27</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小王庄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28</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菜元</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29</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任庄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30</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陈庄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31</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张庄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32</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李庄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33</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刁庄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34</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达屯</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35</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西罗</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36</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大罗</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37</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姚营</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7"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38</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二郎庙</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39</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西营</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40</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中营</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41</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东营</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42</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龙湾</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43</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杜庄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44</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桥头</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45</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刘白塔</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46</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行仁庄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47</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大掠马</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48</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小掠马</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49</w:t>
            </w:r>
          </w:p>
        </w:tc>
        <w:tc>
          <w:tcPr>
            <w:tcW w:w="1179" w:type="dxa"/>
            <w:vMerge w:val="restart"/>
            <w:vAlign w:val="center"/>
          </w:tcPr>
          <w:p>
            <w:pPr>
              <w:spacing w:line="240" w:lineRule="auto"/>
              <w:ind w:firstLine="0" w:firstLineChars="0"/>
              <w:jc w:val="center"/>
              <w:rPr>
                <w:rFonts w:eastAsia="仿宋_GB2312" w:cs="Times New Roman"/>
                <w:szCs w:val="24"/>
              </w:rPr>
            </w:pPr>
            <w:r>
              <w:rPr>
                <w:rFonts w:eastAsia="仿宋_GB2312" w:cs="Times New Roman"/>
                <w:szCs w:val="24"/>
              </w:rPr>
              <w:t>新集镇</w:t>
            </w: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埝头</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50</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孙屯</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51</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孟庄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52</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王庄</w:t>
            </w:r>
          </w:p>
        </w:tc>
        <w:tc>
          <w:tcPr>
            <w:tcW w:w="3884"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882"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53</w:t>
            </w:r>
          </w:p>
        </w:tc>
        <w:tc>
          <w:tcPr>
            <w:tcW w:w="1179" w:type="dxa"/>
            <w:vMerge w:val="continue"/>
            <w:vAlign w:val="center"/>
          </w:tcPr>
          <w:p>
            <w:pPr>
              <w:spacing w:line="240" w:lineRule="auto"/>
              <w:ind w:firstLine="0" w:firstLineChars="0"/>
              <w:jc w:val="center"/>
              <w:rPr>
                <w:rFonts w:eastAsia="仿宋_GB2312" w:cs="Times New Roman"/>
                <w:szCs w:val="24"/>
              </w:rPr>
            </w:pPr>
          </w:p>
        </w:tc>
        <w:tc>
          <w:tcPr>
            <w:tcW w:w="2577"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刘庄</w:t>
            </w:r>
          </w:p>
        </w:tc>
        <w:tc>
          <w:tcPr>
            <w:tcW w:w="3884" w:type="dxa"/>
            <w:vAlign w:val="top"/>
          </w:tcPr>
          <w:p>
            <w:pPr>
              <w:spacing w:line="240" w:lineRule="auto"/>
              <w:ind w:firstLine="0" w:firstLineChars="0"/>
              <w:jc w:val="center"/>
              <w:rPr>
                <w:rFonts w:eastAsia="仿宋_GB2312" w:cs="Times New Roman"/>
                <w:szCs w:val="24"/>
              </w:rPr>
            </w:pPr>
            <w:r>
              <w:rPr>
                <w:rFonts w:eastAsia="仿宋_GB2312" w:cs="Times New Roman"/>
                <w:szCs w:val="24"/>
              </w:rPr>
              <w:t>分散污水处理</w:t>
            </w:r>
          </w:p>
        </w:tc>
      </w:tr>
    </w:tbl>
    <w:p>
      <w:pPr>
        <w:pStyle w:val="4"/>
        <w:spacing w:before="97" w:beforeLines="30" w:line="580" w:lineRule="exact"/>
        <w:ind w:firstLine="643"/>
      </w:pPr>
      <w:bookmarkStart w:id="99" w:name="_Toc23788342"/>
      <w:bookmarkStart w:id="100" w:name="_Toc467753441"/>
      <w:r>
        <w:t>7.3.2减少农药化肥施用，推动农业面源污染治理</w:t>
      </w:r>
      <w:bookmarkEnd w:id="99"/>
      <w:bookmarkEnd w:id="100"/>
    </w:p>
    <w:p>
      <w:pPr>
        <w:autoSpaceDN w:val="0"/>
        <w:adjustRightInd w:val="0"/>
        <w:snapToGrid w:val="0"/>
        <w:spacing w:line="580" w:lineRule="exact"/>
        <w:ind w:firstLine="640"/>
        <w:rPr>
          <w:rFonts w:eastAsia="仿宋_GB2312" w:cs="Times New Roman"/>
          <w:sz w:val="32"/>
          <w:szCs w:val="32"/>
        </w:rPr>
      </w:pPr>
      <w:r>
        <w:rPr>
          <w:rFonts w:eastAsia="仿宋_GB2312" w:cs="Times New Roman"/>
          <w:sz w:val="32"/>
          <w:szCs w:val="32"/>
        </w:rPr>
        <w:t>全面实施测土配方施肥技术，有效控制</w:t>
      </w:r>
      <w:r>
        <w:rPr>
          <w:rFonts w:eastAsia="仿宋" w:cs="Times New Roman"/>
          <w:sz w:val="32"/>
          <w:szCs w:val="32"/>
        </w:rPr>
        <w:t>泃</w:t>
      </w:r>
      <w:r>
        <w:rPr>
          <w:rFonts w:eastAsia="仿宋_GB2312" w:cs="Times New Roman"/>
          <w:sz w:val="32"/>
          <w:szCs w:val="32"/>
        </w:rPr>
        <w:t>河集水范围内农田农药化肥使用量。鼓励发展生态循环农业，引导农民科学施肥，在政策上鼓励施用有机肥，减少农田化肥氮磷流失。落实高标准农田建设、土地开发整理等标准规范。调整种植结构，调减用水量较大的小麦种植面积，逐步实施退地减水。</w:t>
      </w:r>
    </w:p>
    <w:p>
      <w:pPr>
        <w:pStyle w:val="4"/>
        <w:spacing w:line="580" w:lineRule="exact"/>
        <w:ind w:firstLine="643"/>
      </w:pPr>
      <w:bookmarkStart w:id="101" w:name="_Toc23788343"/>
      <w:bookmarkStart w:id="102" w:name="_Toc467753442"/>
      <w:r>
        <w:t>7.3.3强化畜禽养殖监督管理，加强治污专业指导</w:t>
      </w:r>
      <w:bookmarkEnd w:id="101"/>
      <w:bookmarkEnd w:id="102"/>
    </w:p>
    <w:p>
      <w:pPr>
        <w:pStyle w:val="14"/>
        <w:autoSpaceDN w:val="0"/>
        <w:adjustRightInd w:val="0"/>
        <w:snapToGrid w:val="0"/>
        <w:spacing w:line="580" w:lineRule="exact"/>
        <w:ind w:firstLine="640"/>
        <w:rPr>
          <w:rFonts w:ascii="Times New Roman" w:hAnsi="Times New Roman" w:eastAsia="仿宋_GB2312"/>
          <w:sz w:val="32"/>
          <w:szCs w:val="32"/>
        </w:rPr>
      </w:pPr>
      <w:r>
        <w:rPr>
          <w:rFonts w:ascii="Times New Roman" w:hAnsi="Times New Roman" w:eastAsia="仿宋_GB2312"/>
          <w:sz w:val="32"/>
          <w:szCs w:val="32"/>
        </w:rPr>
        <w:t>根据三河市畜禽养殖禁养区、限养区和适养区的划定方案，严守畜禽养殖禁养区、限养区和适养区相关规定。严格事前审批，没有与养殖规模相适应的污水、污物无害化处理设施设备，粪污处理不达标的，一律不予发证。进一步加大畜禽养殖粪污综合利用指导和服务力度，加大实地监督检查力度，督促指导建立与养殖规模相适应的沉淀池、堆粪场、沼气池等养殖粪污无害化处理设施设备，保证治污设施稳定运行。</w:t>
      </w:r>
    </w:p>
    <w:p>
      <w:pPr>
        <w:pStyle w:val="4"/>
        <w:spacing w:line="580" w:lineRule="exact"/>
        <w:ind w:firstLine="643"/>
      </w:pPr>
      <w:bookmarkStart w:id="103" w:name="_Toc467753450"/>
      <w:bookmarkStart w:id="104" w:name="_Toc23788344"/>
      <w:bookmarkStart w:id="105" w:name="_Toc467753443"/>
      <w:r>
        <w:t>7.3.4推广城乡垃圾分类，提升城乡垃圾收集转运</w:t>
      </w:r>
      <w:bookmarkEnd w:id="103"/>
      <w:r>
        <w:t>能力</w:t>
      </w:r>
      <w:bookmarkEnd w:id="104"/>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有关部门、街道（镇），要采取多种有效形式，营造垃圾分类的浓厚宣传舆论氛围。报社、电台、电视台等新闻单位，要加强对垃圾分类收集，处理处置、环境保护的宣传和跟踪报导，正确引导公众开展垃圾分类收集。结合城乡环卫一体化工作，引入第三方市场服务，强化</w:t>
      </w:r>
      <w:r>
        <w:rPr>
          <w:rFonts w:eastAsia="仿宋_GB2312" w:cs="Times New Roman"/>
          <w:spacing w:val="6"/>
          <w:sz w:val="32"/>
          <w:szCs w:val="32"/>
        </w:rPr>
        <w:t>村收集、镇转运、市处理的运转模式。加强第三方市场服务监督管理，督促第三方</w:t>
      </w:r>
      <w:r>
        <w:rPr>
          <w:rFonts w:eastAsia="仿宋_GB2312" w:cs="Times New Roman"/>
          <w:sz w:val="32"/>
          <w:szCs w:val="32"/>
        </w:rPr>
        <w:t>配备与垃圾清运量相适应的垃圾收集车、垃圾清运车，适度增加垃圾收运频率，防止周边居民的生活垃圾进入水体。优先开展小陈庄、二郎庙、西营、中营、龙湾等村的生活垃圾的科学收集，增加垃圾收集运输的频次与效率。</w:t>
      </w:r>
    </w:p>
    <w:bookmarkEnd w:id="105"/>
    <w:p>
      <w:pPr>
        <w:pStyle w:val="3"/>
        <w:spacing w:line="590" w:lineRule="exact"/>
        <w:ind w:firstLine="643"/>
        <w:rPr>
          <w:rFonts w:eastAsia="楷体_GB2312"/>
        </w:rPr>
      </w:pPr>
      <w:bookmarkStart w:id="106" w:name="_Toc467753447"/>
      <w:bookmarkStart w:id="107" w:name="_Toc23788345"/>
      <w:r>
        <w:rPr>
          <w:rFonts w:eastAsia="楷体_GB2312"/>
        </w:rPr>
        <w:t>7.4河道综合治理</w:t>
      </w:r>
      <w:bookmarkEnd w:id="106"/>
      <w:r>
        <w:rPr>
          <w:rFonts w:eastAsia="楷体_GB2312"/>
        </w:rPr>
        <w:t>与生态修复</w:t>
      </w:r>
      <w:bookmarkEnd w:id="107"/>
    </w:p>
    <w:p>
      <w:pPr>
        <w:pStyle w:val="4"/>
        <w:spacing w:line="590" w:lineRule="exact"/>
        <w:ind w:firstLine="643"/>
      </w:pPr>
      <w:bookmarkStart w:id="108" w:name="_Toc23788346"/>
      <w:r>
        <w:t>7.4.1加强沿河垃圾、河道漂浮物和水草清理</w:t>
      </w:r>
      <w:bookmarkEnd w:id="108"/>
    </w:p>
    <w:p>
      <w:pPr>
        <w:pStyle w:val="14"/>
        <w:autoSpaceDN w:val="0"/>
        <w:adjustRightInd w:val="0"/>
        <w:snapToGrid w:val="0"/>
        <w:spacing w:line="590" w:lineRule="exact"/>
        <w:ind w:firstLine="640"/>
        <w:rPr>
          <w:rFonts w:ascii="Times New Roman" w:hAnsi="Times New Roman"/>
        </w:rPr>
      </w:pPr>
      <w:r>
        <w:rPr>
          <w:rFonts w:ascii="Times New Roman" w:hAnsi="Times New Roman" w:eastAsia="仿宋_GB2312"/>
          <w:sz w:val="32"/>
          <w:szCs w:val="32"/>
        </w:rPr>
        <w:t>加强城市环境治理，开展沿河垃圾打捞与清理整治工作，杜绝垃圾随意堆放。加强河流周边，尤其是城区和上游河段周边的生活垃圾收集与处理。加强农田沟渠垃圾、农户粪污、养殖粪便等废弃物的清理，防止沟渠废弃物进入</w:t>
      </w:r>
      <w:r>
        <w:rPr>
          <w:rFonts w:ascii="Times New Roman" w:hAnsi="Times New Roman" w:eastAsia="仿宋"/>
          <w:sz w:val="32"/>
          <w:szCs w:val="32"/>
        </w:rPr>
        <w:t>泃</w:t>
      </w:r>
      <w:r>
        <w:rPr>
          <w:rFonts w:ascii="Times New Roman" w:hAnsi="Times New Roman" w:eastAsia="仿宋_GB2312"/>
          <w:sz w:val="32"/>
          <w:szCs w:val="32"/>
        </w:rPr>
        <w:t>河。引入专门河道保洁团队，定期对河道内现有的漂浮垃圾和水草进行打捞并由环卫部门负责无害化处理。</w:t>
      </w:r>
    </w:p>
    <w:p>
      <w:pPr>
        <w:pStyle w:val="4"/>
        <w:spacing w:line="590" w:lineRule="exact"/>
        <w:ind w:firstLine="643"/>
      </w:pPr>
      <w:bookmarkStart w:id="109" w:name="_Toc23788347"/>
      <w:bookmarkStart w:id="110" w:name="_Toc467753454"/>
      <w:bookmarkStart w:id="111" w:name="_Toc454468926"/>
      <w:r>
        <w:t>7.4.2优化错桥闸生态砾石床运维管理</w:t>
      </w:r>
      <w:bookmarkEnd w:id="109"/>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通过引进第三方专业运营团队，加快生态砾石床专业运营人员配备。加快错桥闸生态砾石床提升泵站或回流泵站建设，确保汛期生态砾石床的稳定运行。加强汛期和冬季生态砾石床的运行监测，根据水质变化情况，及时调整工艺参数，保障生态砾石床的处理水量和出水水质。</w:t>
      </w:r>
    </w:p>
    <w:p>
      <w:pPr>
        <w:pStyle w:val="4"/>
        <w:spacing w:line="590" w:lineRule="exact"/>
        <w:ind w:firstLine="643"/>
      </w:pPr>
      <w:bookmarkStart w:id="112" w:name="_Toc23788348"/>
      <w:r>
        <w:t>7.4.3打造河流自然生态系统</w:t>
      </w:r>
      <w:bookmarkEnd w:id="112"/>
    </w:p>
    <w:p>
      <w:pPr>
        <w:adjustRightInd w:val="0"/>
        <w:snapToGrid w:val="0"/>
        <w:spacing w:line="590" w:lineRule="exact"/>
        <w:ind w:firstLine="640"/>
        <w:rPr>
          <w:rFonts w:eastAsia="仿宋_GB2312" w:cs="Times New Roman"/>
          <w:sz w:val="32"/>
          <w:szCs w:val="32"/>
        </w:rPr>
      </w:pPr>
      <w:r>
        <w:rPr>
          <w:rFonts w:eastAsia="仿宋" w:cs="Times New Roman"/>
          <w:sz w:val="32"/>
          <w:szCs w:val="32"/>
        </w:rPr>
        <w:t>多措并举打造泃</w:t>
      </w:r>
      <w:r>
        <w:rPr>
          <w:rFonts w:eastAsia="仿宋_GB2312" w:cs="Times New Roman"/>
          <w:sz w:val="32"/>
          <w:szCs w:val="32"/>
        </w:rPr>
        <w:t>河流域自然生态系统。对部分河段开展生态岸坡治理；选择适宜河段种植多样化水生植物，局部建设生态浮岛等水生态景观，恢复水生态系统多样性。在</w:t>
      </w:r>
      <w:r>
        <w:rPr>
          <w:rFonts w:eastAsia="仿宋" w:cs="Times New Roman"/>
          <w:sz w:val="32"/>
          <w:szCs w:val="32"/>
        </w:rPr>
        <w:t>泃</w:t>
      </w:r>
      <w:r>
        <w:rPr>
          <w:rFonts w:eastAsia="仿宋_GB2312" w:cs="Times New Roman"/>
          <w:sz w:val="32"/>
          <w:szCs w:val="32"/>
        </w:rPr>
        <w:t>河、红一支下游选择适宜位置建设表流人工湿地，进一步净化河流水质。</w:t>
      </w:r>
    </w:p>
    <w:p>
      <w:pPr>
        <w:pStyle w:val="4"/>
        <w:spacing w:line="590" w:lineRule="exact"/>
        <w:ind w:firstLine="643"/>
      </w:pPr>
      <w:bookmarkStart w:id="113" w:name="_Toc23788349"/>
      <w:r>
        <w:t>7.4.4加强下游河段藻类防控，强化断面精细化管控</w:t>
      </w:r>
      <w:bookmarkEnd w:id="113"/>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在三河东大桥上游开展藻类控制，根据断面水质变化和藻类监测提前通过加压除藻船或投加改性土壤、抑藻剂等开展藻类治理工作。坚持河道内大型丝状绿藻、菹草等每日清理清零机制，及时清理河道内菹草和藻类等。在</w:t>
      </w:r>
      <w:r>
        <w:rPr>
          <w:rFonts w:eastAsia="仿宋" w:cs="Times New Roman"/>
          <w:sz w:val="32"/>
          <w:szCs w:val="32"/>
        </w:rPr>
        <w:t>泃</w:t>
      </w:r>
      <w:r>
        <w:rPr>
          <w:rFonts w:eastAsia="仿宋_GB2312" w:cs="Times New Roman"/>
          <w:sz w:val="32"/>
          <w:szCs w:val="32"/>
        </w:rPr>
        <w:t>河下游段选择适宜河段种植一定面积的苦草、黑藻等水生植物，构建水生生态系统物种多样性，防止藻类大量生长。</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在常规污染指标监测的基础上，加强考核断面藻类、透明度和叶绿素等指标的监测，为考核断面水质达标预警提供科学依据。</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加强与天津市有关部门沟通协调，优化红旗闸水量调度方案；借助下游沿河农田灌溉设施，优化调水频率和调水路径，保障</w:t>
      </w:r>
      <w:r>
        <w:rPr>
          <w:rFonts w:eastAsia="仿宋" w:cs="Times New Roman"/>
          <w:sz w:val="32"/>
          <w:szCs w:val="32"/>
        </w:rPr>
        <w:t>泃</w:t>
      </w:r>
      <w:r>
        <w:rPr>
          <w:rFonts w:eastAsia="仿宋_GB2312" w:cs="Times New Roman"/>
          <w:sz w:val="32"/>
          <w:szCs w:val="32"/>
        </w:rPr>
        <w:t>河下游段水流循环流动。</w:t>
      </w:r>
    </w:p>
    <w:bookmarkEnd w:id="110"/>
    <w:bookmarkEnd w:id="111"/>
    <w:p>
      <w:pPr>
        <w:pStyle w:val="2"/>
        <w:spacing w:line="590" w:lineRule="exact"/>
        <w:ind w:firstLine="640"/>
      </w:pPr>
      <w:bookmarkStart w:id="114" w:name="_Toc467753460"/>
      <w:bookmarkStart w:id="115" w:name="_Toc23788350"/>
      <w:r>
        <w:t>八、重点工程投资</w:t>
      </w:r>
      <w:bookmarkEnd w:id="114"/>
      <w:r>
        <w:t>和效益分析</w:t>
      </w:r>
      <w:bookmarkEnd w:id="115"/>
    </w:p>
    <w:p>
      <w:pPr>
        <w:pStyle w:val="3"/>
        <w:spacing w:line="590" w:lineRule="exact"/>
        <w:ind w:firstLine="643"/>
        <w:rPr>
          <w:rFonts w:eastAsia="楷体_GB2312"/>
        </w:rPr>
      </w:pPr>
      <w:bookmarkStart w:id="116" w:name="_Toc23788351"/>
      <w:r>
        <w:rPr>
          <w:rFonts w:eastAsia="楷体_GB2312"/>
        </w:rPr>
        <w:t>8.1工程投资</w:t>
      </w:r>
      <w:bookmarkEnd w:id="116"/>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根据本方案重点任务，</w:t>
      </w:r>
      <w:r>
        <w:rPr>
          <w:rFonts w:ascii="Times New Roman" w:hAnsi="Times New Roman" w:eastAsia="仿宋"/>
          <w:sz w:val="32"/>
          <w:szCs w:val="32"/>
        </w:rPr>
        <w:t>泃</w:t>
      </w:r>
      <w:r>
        <w:rPr>
          <w:rFonts w:ascii="Times New Roman" w:hAnsi="Times New Roman" w:eastAsia="仿宋_GB2312"/>
          <w:sz w:val="32"/>
          <w:szCs w:val="32"/>
        </w:rPr>
        <w:t>河及其支流水系的治理工程主要分为城镇生活污染治理、农村生活污染治理、农业源污染治理工程、</w:t>
      </w:r>
      <w:r>
        <w:rPr>
          <w:rFonts w:ascii="Times New Roman" w:hAnsi="Times New Roman" w:eastAsia="仿宋"/>
          <w:sz w:val="32"/>
          <w:szCs w:val="32"/>
        </w:rPr>
        <w:t>泃</w:t>
      </w:r>
      <w:r>
        <w:rPr>
          <w:rFonts w:ascii="Times New Roman" w:hAnsi="Times New Roman" w:eastAsia="仿宋_GB2312"/>
          <w:sz w:val="32"/>
          <w:szCs w:val="32"/>
        </w:rPr>
        <w:t>河综合治理与生态修复工程等几类工程，工程项目总数10个，总投资约1.89亿元。</w:t>
      </w:r>
    </w:p>
    <w:p>
      <w:pPr>
        <w:pStyle w:val="14"/>
        <w:autoSpaceDN w:val="0"/>
        <w:adjustRightInd w:val="0"/>
        <w:snapToGrid w:val="0"/>
        <w:spacing w:line="590" w:lineRule="exact"/>
        <w:ind w:firstLine="640"/>
        <w:rPr>
          <w:rFonts w:ascii="Times New Roman" w:hAnsi="Times New Roman"/>
        </w:rPr>
      </w:pPr>
      <w:r>
        <w:rPr>
          <w:rFonts w:ascii="Times New Roman" w:hAnsi="Times New Roman" w:eastAsia="仿宋_GB2312"/>
          <w:sz w:val="32"/>
          <w:szCs w:val="32"/>
        </w:rPr>
        <w:t>其中，流域污染源治理类项目7个，包括农村分散污水处理设施建设1个、生活垃圾处理工程建设1个、城镇污水管网改造4个、再生水利用工程建设1个，共投资约1.65亿元；流域河道综合治理与生态修复类项目3个，共投资0.24亿元，包括河道自然生态修复项目1个，投资约0.16亿元</w:t>
      </w:r>
      <w:r>
        <w:rPr>
          <w:rFonts w:hint="eastAsia" w:ascii="Times New Roman" w:hAnsi="Times New Roman" w:eastAsia="仿宋_GB2312"/>
          <w:sz w:val="32"/>
          <w:szCs w:val="32"/>
        </w:rPr>
        <w:t>，</w:t>
      </w:r>
      <w:r>
        <w:rPr>
          <w:rFonts w:ascii="Times New Roman" w:hAnsi="Times New Roman" w:eastAsia="仿宋_GB2312"/>
          <w:sz w:val="32"/>
          <w:szCs w:val="32"/>
        </w:rPr>
        <w:t>河道管护项目1个，投资0.03亿元</w:t>
      </w:r>
      <w:r>
        <w:rPr>
          <w:rFonts w:hint="eastAsia" w:ascii="Times New Roman" w:hAnsi="Times New Roman" w:eastAsia="仿宋_GB2312"/>
          <w:sz w:val="32"/>
          <w:szCs w:val="32"/>
        </w:rPr>
        <w:t>，</w:t>
      </w:r>
      <w:r>
        <w:rPr>
          <w:rFonts w:ascii="Times New Roman" w:hAnsi="Times New Roman" w:eastAsia="仿宋_GB2312"/>
          <w:sz w:val="32"/>
          <w:szCs w:val="32"/>
        </w:rPr>
        <w:t>河道藻类治理及综合管控项目1个，投资0.05亿元。具体见附表1。</w:t>
      </w:r>
    </w:p>
    <w:p>
      <w:pPr>
        <w:pStyle w:val="3"/>
        <w:spacing w:line="590" w:lineRule="exact"/>
        <w:ind w:firstLine="643"/>
        <w:rPr>
          <w:rFonts w:eastAsia="楷体_GB2312"/>
        </w:rPr>
      </w:pPr>
      <w:bookmarkStart w:id="117" w:name="_Toc23788352"/>
      <w:bookmarkStart w:id="118" w:name="_Toc467753466"/>
      <w:r>
        <w:rPr>
          <w:rFonts w:eastAsia="楷体_GB2312"/>
        </w:rPr>
        <w:t>8.2目标可达性分析</w:t>
      </w:r>
      <w:bookmarkEnd w:id="117"/>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通过本方案排水管网完善工程、分散型污水处理设施建设工程、垃圾治理工程、</w:t>
      </w:r>
      <w:r>
        <w:rPr>
          <w:rFonts w:eastAsia="仿宋" w:cs="Times New Roman"/>
          <w:sz w:val="32"/>
          <w:szCs w:val="32"/>
        </w:rPr>
        <w:t>泃</w:t>
      </w:r>
      <w:r>
        <w:rPr>
          <w:rFonts w:eastAsia="仿宋_GB2312" w:cs="Times New Roman"/>
          <w:sz w:val="32"/>
          <w:szCs w:val="32"/>
        </w:rPr>
        <w:t>河综合治理与生态修复工程等工程的实施，基本能保证</w:t>
      </w:r>
      <w:r>
        <w:rPr>
          <w:rFonts w:eastAsia="仿宋" w:cs="Times New Roman"/>
          <w:sz w:val="32"/>
          <w:szCs w:val="32"/>
        </w:rPr>
        <w:t>泃</w:t>
      </w:r>
      <w:r>
        <w:rPr>
          <w:rFonts w:eastAsia="仿宋_GB2312" w:cs="Times New Roman"/>
          <w:sz w:val="32"/>
          <w:szCs w:val="32"/>
        </w:rPr>
        <w:t>河水质的稳定达标。</w:t>
      </w:r>
    </w:p>
    <w:p>
      <w:pPr>
        <w:pStyle w:val="3"/>
        <w:spacing w:line="590" w:lineRule="exact"/>
        <w:ind w:firstLine="643"/>
        <w:rPr>
          <w:rFonts w:eastAsia="楷体_GB2312"/>
        </w:rPr>
      </w:pPr>
      <w:bookmarkStart w:id="119" w:name="_Toc23788353"/>
      <w:bookmarkStart w:id="120" w:name="_Toc467753465"/>
      <w:r>
        <w:rPr>
          <w:rFonts w:eastAsia="楷体_GB2312"/>
        </w:rPr>
        <w:t>8.3效益分析</w:t>
      </w:r>
      <w:bookmarkEnd w:id="119"/>
      <w:bookmarkEnd w:id="120"/>
    </w:p>
    <w:p>
      <w:pPr>
        <w:pStyle w:val="3"/>
        <w:spacing w:line="590" w:lineRule="exact"/>
        <w:ind w:firstLine="643"/>
      </w:pPr>
      <w:bookmarkStart w:id="121" w:name="_Toc23788354"/>
      <w:r>
        <w:t>8.3.1环境效益</w:t>
      </w:r>
      <w:bookmarkEnd w:id="121"/>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通过实施</w:t>
      </w:r>
      <w:r>
        <w:rPr>
          <w:rFonts w:eastAsia="仿宋" w:cs="Times New Roman"/>
          <w:sz w:val="32"/>
          <w:szCs w:val="32"/>
        </w:rPr>
        <w:t>泃</w:t>
      </w:r>
      <w:r>
        <w:rPr>
          <w:rFonts w:eastAsia="仿宋_GB2312" w:cs="Times New Roman"/>
          <w:sz w:val="32"/>
          <w:szCs w:val="32"/>
        </w:rPr>
        <w:t>河流域污染源治理、新建污水处理厂、湿地生态修复与保护等重点项目，分别实现COD和氨氮主要污染物的削减。因工程项目布局上与重点问题所在的关键河段和区域直接相关，这些工程建成后将会对改善</w:t>
      </w:r>
      <w:r>
        <w:rPr>
          <w:rFonts w:eastAsia="仿宋" w:cs="Times New Roman"/>
          <w:sz w:val="32"/>
          <w:szCs w:val="32"/>
        </w:rPr>
        <w:t>泃</w:t>
      </w:r>
      <w:r>
        <w:rPr>
          <w:rFonts w:eastAsia="仿宋_GB2312" w:cs="Times New Roman"/>
          <w:sz w:val="32"/>
          <w:szCs w:val="32"/>
        </w:rPr>
        <w:t>河及红一支、红二支等流域水质发挥直接的、积极的作用。</w:t>
      </w:r>
    </w:p>
    <w:p>
      <w:pPr>
        <w:pStyle w:val="3"/>
        <w:spacing w:line="590" w:lineRule="exact"/>
        <w:ind w:firstLine="643"/>
      </w:pPr>
      <w:bookmarkStart w:id="122" w:name="_Toc23788355"/>
      <w:r>
        <w:t>8.3.2生态效益</w:t>
      </w:r>
      <w:bookmarkEnd w:id="122"/>
    </w:p>
    <w:p>
      <w:pPr>
        <w:autoSpaceDN w:val="0"/>
        <w:adjustRightInd w:val="0"/>
        <w:snapToGrid w:val="0"/>
        <w:spacing w:line="590" w:lineRule="exact"/>
        <w:ind w:firstLine="640"/>
        <w:rPr>
          <w:rFonts w:eastAsia="仿宋_GB2312" w:cs="Times New Roman"/>
          <w:kern w:val="0"/>
          <w:sz w:val="32"/>
          <w:szCs w:val="32"/>
        </w:rPr>
      </w:pPr>
      <w:r>
        <w:rPr>
          <w:rFonts w:eastAsia="仿宋_GB2312" w:cs="Times New Roman"/>
          <w:sz w:val="32"/>
          <w:szCs w:val="32"/>
        </w:rPr>
        <w:t>通过</w:t>
      </w:r>
      <w:r>
        <w:rPr>
          <w:rFonts w:eastAsia="仿宋" w:cs="Times New Roman"/>
          <w:sz w:val="32"/>
          <w:szCs w:val="32"/>
        </w:rPr>
        <w:t>泃</w:t>
      </w:r>
      <w:r>
        <w:rPr>
          <w:rFonts w:eastAsia="仿宋_GB2312" w:cs="Times New Roman"/>
          <w:sz w:val="32"/>
          <w:szCs w:val="32"/>
        </w:rPr>
        <w:t>河流域人工湿地等项目的实施，维持了较高的生物多样性，提高了水体净化能力，使得生产生活污水得到有效处置，河流生态环境质量全面提升，河清、岸绿、景美的生态保护格局基本形成。</w:t>
      </w:r>
    </w:p>
    <w:p>
      <w:pPr>
        <w:pStyle w:val="3"/>
        <w:spacing w:line="590" w:lineRule="exact"/>
        <w:ind w:firstLine="643"/>
      </w:pPr>
      <w:bookmarkStart w:id="123" w:name="_Toc23788356"/>
      <w:r>
        <w:t>8.3.3社会效益</w:t>
      </w:r>
      <w:bookmarkEnd w:id="123"/>
    </w:p>
    <w:p>
      <w:pPr>
        <w:autoSpaceDN w:val="0"/>
        <w:adjustRightInd w:val="0"/>
        <w:snapToGrid w:val="0"/>
        <w:spacing w:line="590" w:lineRule="exact"/>
        <w:ind w:firstLine="640"/>
        <w:rPr>
          <w:rFonts w:eastAsia="仿宋_GB2312" w:cs="Times New Roman"/>
          <w:kern w:val="0"/>
          <w:sz w:val="32"/>
          <w:szCs w:val="32"/>
        </w:rPr>
      </w:pPr>
      <w:r>
        <w:rPr>
          <w:rFonts w:eastAsia="仿宋_GB2312" w:cs="Times New Roman"/>
          <w:kern w:val="0"/>
          <w:sz w:val="32"/>
          <w:szCs w:val="32"/>
        </w:rPr>
        <w:t>本方案的实施，将有效促进三河市</w:t>
      </w:r>
      <w:r>
        <w:rPr>
          <w:rFonts w:eastAsia="仿宋" w:cs="Times New Roman"/>
          <w:kern w:val="0"/>
          <w:sz w:val="32"/>
          <w:szCs w:val="32"/>
        </w:rPr>
        <w:t>泃</w:t>
      </w:r>
      <w:r>
        <w:rPr>
          <w:rFonts w:eastAsia="仿宋_GB2312" w:cs="Times New Roman"/>
          <w:kern w:val="0"/>
          <w:sz w:val="32"/>
          <w:szCs w:val="32"/>
        </w:rPr>
        <w:t>河两岸区域水污染物的减少、生态环境的改善、资源的合理化再生，推动生态农业、生态养殖、生态旅游等产业的发展，保证了区域可持续发展，为居民提供更好的生态宜居环境。</w:t>
      </w:r>
    </w:p>
    <w:p>
      <w:pPr>
        <w:spacing w:line="590" w:lineRule="exact"/>
        <w:ind w:firstLine="640"/>
        <w:rPr>
          <w:rFonts w:eastAsia="黑体" w:cs="Times New Roman"/>
          <w:sz w:val="32"/>
          <w:szCs w:val="32"/>
        </w:rPr>
      </w:pPr>
      <w:r>
        <w:rPr>
          <w:rFonts w:eastAsia="黑体" w:cs="Times New Roman"/>
          <w:sz w:val="32"/>
          <w:szCs w:val="32"/>
        </w:rPr>
        <w:t>九、保障措施</w:t>
      </w:r>
      <w:bookmarkEnd w:id="118"/>
    </w:p>
    <w:p>
      <w:pPr>
        <w:pStyle w:val="3"/>
        <w:spacing w:line="590" w:lineRule="exact"/>
        <w:ind w:firstLine="643"/>
        <w:rPr>
          <w:rFonts w:eastAsia="楷体_GB2312"/>
        </w:rPr>
      </w:pPr>
      <w:bookmarkStart w:id="124" w:name="_Toc23788357"/>
      <w:r>
        <w:rPr>
          <w:rFonts w:eastAsia="楷体_GB2312"/>
        </w:rPr>
        <w:t>9.1落实责任、强化督导</w:t>
      </w:r>
      <w:bookmarkEnd w:id="124"/>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落实党政同责，落实</w:t>
      </w:r>
      <w:r>
        <w:rPr>
          <w:rFonts w:eastAsia="仿宋" w:cs="Times New Roman"/>
          <w:sz w:val="32"/>
          <w:szCs w:val="32"/>
        </w:rPr>
        <w:t>泃</w:t>
      </w:r>
      <w:r>
        <w:rPr>
          <w:rFonts w:eastAsia="仿宋_GB2312" w:cs="Times New Roman"/>
          <w:sz w:val="32"/>
          <w:szCs w:val="32"/>
        </w:rPr>
        <w:t>河水污染防治领导小组及各成员单位责任，落实河长制责任。采取公开约谈、挂牌督办、纪律问责等措施，严肃追究责任。完善河长制工作机制，充分发挥河长制作用，明确各河长及部门的主要职责与任务，加强河长制工作完成情况督导检查。</w:t>
      </w:r>
    </w:p>
    <w:p>
      <w:pPr>
        <w:pStyle w:val="3"/>
        <w:spacing w:line="590" w:lineRule="exact"/>
        <w:ind w:firstLine="643"/>
        <w:rPr>
          <w:rFonts w:eastAsia="楷体_GB2312"/>
        </w:rPr>
      </w:pPr>
      <w:bookmarkStart w:id="125" w:name="_Toc23788358"/>
      <w:r>
        <w:rPr>
          <w:rFonts w:eastAsia="楷体_GB2312"/>
        </w:rPr>
        <w:t>9.2多措并举、强化投入</w:t>
      </w:r>
      <w:bookmarkEnd w:id="125"/>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各级财政应列出专项资金用于水环境综合整治工程建设、运行管理及日常维护；水利、生态环境、住建、发改等部门要尽快建立相关项目库，积极争取国家和省里资金投入。要全力拓展资金投入渠道，建立和健全全社会、多元化、多渠道、多层次的水环境综合整治格局。</w:t>
      </w:r>
    </w:p>
    <w:p>
      <w:pPr>
        <w:pStyle w:val="3"/>
        <w:spacing w:line="590" w:lineRule="exact"/>
        <w:ind w:firstLine="643"/>
        <w:rPr>
          <w:rFonts w:eastAsia="楷体_GB2312"/>
        </w:rPr>
      </w:pPr>
      <w:bookmarkStart w:id="126" w:name="_Toc23788359"/>
      <w:r>
        <w:rPr>
          <w:rFonts w:eastAsia="楷体_GB2312"/>
        </w:rPr>
        <w:t>9.3精准支撑，强化监管</w:t>
      </w:r>
      <w:bookmarkEnd w:id="126"/>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加强水质目标精细化管理基础技术支撑研究，加快构建精细化管理技术支撑体系，实现水质目标精准管控。积极推行污染第三方专业治理运营，提升污染治理效率和专业化水平。提高监管能力建设，加强污染治理设施运营监督管理。</w:t>
      </w:r>
    </w:p>
    <w:p>
      <w:pPr>
        <w:pStyle w:val="14"/>
        <w:autoSpaceDN w:val="0"/>
        <w:adjustRightInd w:val="0"/>
        <w:snapToGrid w:val="0"/>
        <w:spacing w:line="590" w:lineRule="exact"/>
        <w:ind w:firstLine="640"/>
        <w:rPr>
          <w:rFonts w:ascii="Times New Roman" w:hAnsi="Times New Roman" w:eastAsia="仿宋_GB2312"/>
          <w:sz w:val="32"/>
          <w:szCs w:val="32"/>
        </w:rPr>
        <w:sectPr>
          <w:footerReference r:id="rId15" w:type="default"/>
          <w:footerReference r:id="rId16" w:type="even"/>
          <w:pgSz w:w="11906" w:h="16838"/>
          <w:pgMar w:top="2098" w:right="1531" w:bottom="1474" w:left="1531" w:header="851" w:footer="851" w:gutter="0"/>
          <w:pgNumType w:start="46"/>
          <w:cols w:space="720" w:num="1"/>
          <w:docGrid w:type="lines" w:linePitch="326" w:charSpace="0"/>
        </w:sectPr>
      </w:pPr>
    </w:p>
    <w:p>
      <w:pPr>
        <w:pStyle w:val="2"/>
        <w:autoSpaceDN w:val="0"/>
        <w:snapToGrid w:val="0"/>
        <w:spacing w:after="97" w:afterLines="30" w:line="600" w:lineRule="exact"/>
        <w:ind w:firstLine="0" w:firstLineChars="0"/>
        <w:rPr>
          <w:szCs w:val="32"/>
        </w:rPr>
      </w:pPr>
      <w:bookmarkStart w:id="127" w:name="_Toc23788360"/>
      <w:r>
        <w:rPr>
          <w:szCs w:val="32"/>
        </w:rPr>
        <w:t>附表1：</w:t>
      </w:r>
      <w:r>
        <w:rPr>
          <w:rFonts w:hint="eastAsia"/>
          <w:szCs w:val="32"/>
        </w:rPr>
        <w:t xml:space="preserve">                       </w:t>
      </w:r>
      <w:r>
        <w:rPr>
          <w:szCs w:val="32"/>
        </w:rPr>
        <w:t>重点工程项目及投资汇总</w:t>
      </w:r>
      <w:bookmarkEnd w:id="127"/>
    </w:p>
    <w:tbl>
      <w:tblPr>
        <w:tblStyle w:val="13"/>
        <w:tblW w:w="13260" w:type="dxa"/>
        <w:jc w:val="center"/>
        <w:tblInd w:w="0" w:type="dxa"/>
        <w:tblLayout w:type="fixed"/>
        <w:tblCellMar>
          <w:top w:w="15" w:type="dxa"/>
          <w:left w:w="108" w:type="dxa"/>
          <w:bottom w:w="15" w:type="dxa"/>
          <w:right w:w="108" w:type="dxa"/>
        </w:tblCellMar>
      </w:tblPr>
      <w:tblGrid>
        <w:gridCol w:w="488"/>
        <w:gridCol w:w="870"/>
        <w:gridCol w:w="1331"/>
        <w:gridCol w:w="1716"/>
        <w:gridCol w:w="992"/>
        <w:gridCol w:w="1515"/>
        <w:gridCol w:w="1179"/>
        <w:gridCol w:w="4014"/>
        <w:gridCol w:w="1155"/>
      </w:tblGrid>
      <w:tr>
        <w:tblPrEx>
          <w:tblLayout w:type="fixed"/>
          <w:tblCellMar>
            <w:top w:w="15" w:type="dxa"/>
            <w:left w:w="108" w:type="dxa"/>
            <w:bottom w:w="15" w:type="dxa"/>
            <w:right w:w="108" w:type="dxa"/>
          </w:tblCellMar>
        </w:tblPrEx>
        <w:trPr>
          <w:trHeight w:val="454" w:hRule="atLeast"/>
          <w:tblHeader/>
          <w:jc w:val="center"/>
        </w:trPr>
        <w:tc>
          <w:tcPr>
            <w:tcW w:w="488"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序号</w:t>
            </w:r>
          </w:p>
        </w:tc>
        <w:tc>
          <w:tcPr>
            <w:tcW w:w="870"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隶属关系</w:t>
            </w:r>
          </w:p>
        </w:tc>
        <w:tc>
          <w:tcPr>
            <w:tcW w:w="1331"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项目类型</w:t>
            </w:r>
          </w:p>
        </w:tc>
        <w:tc>
          <w:tcPr>
            <w:tcW w:w="1716"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项目名称</w:t>
            </w:r>
          </w:p>
        </w:tc>
        <w:tc>
          <w:tcPr>
            <w:tcW w:w="992"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建设地点</w:t>
            </w:r>
          </w:p>
        </w:tc>
        <w:tc>
          <w:tcPr>
            <w:tcW w:w="1515"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建设周期</w:t>
            </w:r>
          </w:p>
        </w:tc>
        <w:tc>
          <w:tcPr>
            <w:tcW w:w="1179"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承担单位</w:t>
            </w:r>
          </w:p>
        </w:tc>
        <w:tc>
          <w:tcPr>
            <w:tcW w:w="4014"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项目建设规模与内容</w:t>
            </w:r>
          </w:p>
        </w:tc>
        <w:tc>
          <w:tcPr>
            <w:tcW w:w="1155"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项目总投资（万元）</w:t>
            </w:r>
          </w:p>
        </w:tc>
      </w:tr>
      <w:tr>
        <w:tblPrEx>
          <w:tblLayout w:type="fixed"/>
          <w:tblCellMar>
            <w:top w:w="15" w:type="dxa"/>
            <w:left w:w="108" w:type="dxa"/>
            <w:bottom w:w="15" w:type="dxa"/>
            <w:right w:w="108" w:type="dxa"/>
          </w:tblCellMar>
        </w:tblPrEx>
        <w:trPr>
          <w:trHeight w:val="241"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b/>
                <w:bCs/>
                <w:color w:val="000000"/>
                <w:kern w:val="0"/>
                <w:sz w:val="21"/>
                <w:szCs w:val="21"/>
              </w:rPr>
            </w:pPr>
          </w:p>
        </w:tc>
        <w:tc>
          <w:tcPr>
            <w:tcW w:w="870"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b/>
                <w:bCs/>
                <w:color w:val="000000"/>
                <w:kern w:val="0"/>
                <w:sz w:val="21"/>
                <w:szCs w:val="21"/>
              </w:rPr>
            </w:pPr>
          </w:p>
        </w:tc>
        <w:tc>
          <w:tcPr>
            <w:tcW w:w="1331"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b/>
                <w:bCs/>
                <w:color w:val="000000"/>
                <w:kern w:val="0"/>
                <w:sz w:val="21"/>
                <w:szCs w:val="21"/>
              </w:rPr>
            </w:pPr>
          </w:p>
        </w:tc>
        <w:tc>
          <w:tcPr>
            <w:tcW w:w="1716"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b/>
                <w:bCs/>
                <w:color w:val="000000"/>
                <w:kern w:val="0"/>
                <w:sz w:val="21"/>
                <w:szCs w:val="21"/>
              </w:rPr>
            </w:pPr>
          </w:p>
        </w:tc>
        <w:tc>
          <w:tcPr>
            <w:tcW w:w="992"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b/>
                <w:bCs/>
                <w:color w:val="000000"/>
                <w:kern w:val="0"/>
                <w:sz w:val="21"/>
                <w:szCs w:val="21"/>
              </w:rPr>
            </w:pPr>
          </w:p>
        </w:tc>
        <w:tc>
          <w:tcPr>
            <w:tcW w:w="1515"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b/>
                <w:bCs/>
                <w:color w:val="000000"/>
                <w:kern w:val="0"/>
                <w:sz w:val="21"/>
                <w:szCs w:val="21"/>
              </w:rPr>
            </w:pPr>
          </w:p>
        </w:tc>
        <w:tc>
          <w:tcPr>
            <w:tcW w:w="1179"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b/>
                <w:bCs/>
                <w:color w:val="000000"/>
                <w:kern w:val="0"/>
                <w:sz w:val="21"/>
                <w:szCs w:val="21"/>
              </w:rPr>
            </w:pPr>
          </w:p>
        </w:tc>
        <w:tc>
          <w:tcPr>
            <w:tcW w:w="4014"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b/>
                <w:bCs/>
                <w:color w:val="000000"/>
                <w:kern w:val="0"/>
                <w:sz w:val="21"/>
                <w:szCs w:val="21"/>
              </w:rPr>
            </w:pPr>
          </w:p>
        </w:tc>
        <w:tc>
          <w:tcPr>
            <w:tcW w:w="1155"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b/>
                <w:bCs/>
                <w:color w:val="000000"/>
                <w:kern w:val="0"/>
                <w:sz w:val="21"/>
                <w:szCs w:val="21"/>
              </w:rPr>
            </w:pPr>
          </w:p>
        </w:tc>
      </w:tr>
      <w:tr>
        <w:tblPrEx>
          <w:tblLayout w:type="fixed"/>
          <w:tblCellMar>
            <w:top w:w="15" w:type="dxa"/>
            <w:left w:w="108" w:type="dxa"/>
            <w:bottom w:w="15" w:type="dxa"/>
            <w:right w:w="108" w:type="dxa"/>
          </w:tblCellMar>
        </w:tblPrEx>
        <w:trPr>
          <w:trHeight w:val="236" w:hRule="atLeast"/>
          <w:jc w:val="center"/>
        </w:trPr>
        <w:tc>
          <w:tcPr>
            <w:tcW w:w="12105" w:type="dxa"/>
            <w:gridSpan w:val="8"/>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合计</w:t>
            </w:r>
          </w:p>
        </w:tc>
        <w:tc>
          <w:tcPr>
            <w:tcW w:w="115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18910</w:t>
            </w:r>
          </w:p>
        </w:tc>
      </w:tr>
      <w:tr>
        <w:tblPrEx>
          <w:tblLayout w:type="fixed"/>
          <w:tblCellMar>
            <w:top w:w="15" w:type="dxa"/>
            <w:left w:w="108" w:type="dxa"/>
            <w:bottom w:w="15" w:type="dxa"/>
            <w:right w:w="108" w:type="dxa"/>
          </w:tblCellMar>
        </w:tblPrEx>
        <w:trPr>
          <w:trHeight w:val="394" w:hRule="atLeast"/>
          <w:jc w:val="center"/>
        </w:trPr>
        <w:tc>
          <w:tcPr>
            <w:tcW w:w="12105" w:type="dxa"/>
            <w:gridSpan w:val="8"/>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1</w:t>
            </w:r>
            <w:r>
              <w:rPr>
                <w:rFonts w:hint="eastAsia" w:eastAsia="仿宋_GB2312" w:cs="Times New Roman"/>
                <w:b/>
                <w:bCs/>
                <w:color w:val="000000"/>
                <w:kern w:val="0"/>
                <w:sz w:val="21"/>
                <w:szCs w:val="21"/>
              </w:rPr>
              <w:t>-</w:t>
            </w:r>
            <w:r>
              <w:rPr>
                <w:rFonts w:eastAsia="仿宋_GB2312" w:cs="Times New Roman"/>
                <w:b/>
                <w:bCs/>
                <w:color w:val="000000"/>
                <w:kern w:val="0"/>
                <w:sz w:val="21"/>
                <w:szCs w:val="21"/>
              </w:rPr>
              <w:t>流域污染源治理类型项目小计</w:t>
            </w:r>
          </w:p>
        </w:tc>
        <w:tc>
          <w:tcPr>
            <w:tcW w:w="115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16510</w:t>
            </w:r>
          </w:p>
        </w:tc>
      </w:tr>
      <w:tr>
        <w:tblPrEx>
          <w:tblLayout w:type="fixed"/>
          <w:tblCellMar>
            <w:top w:w="15" w:type="dxa"/>
            <w:left w:w="108" w:type="dxa"/>
            <w:bottom w:w="15" w:type="dxa"/>
            <w:right w:w="108" w:type="dxa"/>
          </w:tblCellMar>
        </w:tblPrEx>
        <w:trPr>
          <w:trHeight w:val="1051" w:hRule="atLeast"/>
          <w:jc w:val="center"/>
        </w:trPr>
        <w:tc>
          <w:tcPr>
            <w:tcW w:w="48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1</w:t>
            </w:r>
          </w:p>
        </w:tc>
        <w:tc>
          <w:tcPr>
            <w:tcW w:w="8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331"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农村分散型污水处理设施建设工程</w:t>
            </w:r>
          </w:p>
        </w:tc>
        <w:tc>
          <w:tcPr>
            <w:tcW w:w="171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泃河、红一支、红二支沿岸村庄分散型污水处理设施建设工程</w:t>
            </w:r>
          </w:p>
        </w:tc>
        <w:tc>
          <w:tcPr>
            <w:tcW w:w="992"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泃河及红一、二支沿岸</w:t>
            </w:r>
          </w:p>
        </w:tc>
        <w:tc>
          <w:tcPr>
            <w:tcW w:w="151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2019</w:t>
            </w:r>
            <w:r>
              <w:rPr>
                <w:rFonts w:hint="eastAsia" w:eastAsia="仿宋_GB2312" w:cs="Times New Roman"/>
                <w:color w:val="000000"/>
                <w:kern w:val="0"/>
                <w:sz w:val="21"/>
                <w:szCs w:val="21"/>
              </w:rPr>
              <w:t>—</w:t>
            </w: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117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4014"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53个村庄分散农村污水处理设施建设。</w:t>
            </w:r>
          </w:p>
        </w:tc>
        <w:tc>
          <w:tcPr>
            <w:tcW w:w="115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6000</w:t>
            </w:r>
          </w:p>
        </w:tc>
      </w:tr>
      <w:tr>
        <w:tblPrEx>
          <w:tblLayout w:type="fixed"/>
          <w:tblCellMar>
            <w:top w:w="15" w:type="dxa"/>
            <w:left w:w="108" w:type="dxa"/>
            <w:bottom w:w="15" w:type="dxa"/>
            <w:right w:w="108" w:type="dxa"/>
          </w:tblCellMar>
        </w:tblPrEx>
        <w:trPr>
          <w:trHeight w:val="813" w:hRule="atLeast"/>
          <w:jc w:val="center"/>
        </w:trPr>
        <w:tc>
          <w:tcPr>
            <w:tcW w:w="48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2</w:t>
            </w:r>
          </w:p>
        </w:tc>
        <w:tc>
          <w:tcPr>
            <w:tcW w:w="8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331"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生活垃圾污染治理工程</w:t>
            </w:r>
          </w:p>
        </w:tc>
        <w:tc>
          <w:tcPr>
            <w:tcW w:w="1716" w:type="dxa"/>
            <w:tcBorders>
              <w:top w:val="single" w:color="000000" w:sz="4" w:space="0"/>
              <w:left w:val="single" w:color="000000" w:sz="4" w:space="0"/>
              <w:bottom w:val="single" w:color="auto"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泃河、红一支、红二支沿岸村庄垃圾收运体系建设</w:t>
            </w:r>
          </w:p>
        </w:tc>
        <w:tc>
          <w:tcPr>
            <w:tcW w:w="992" w:type="dxa"/>
            <w:tcBorders>
              <w:top w:val="single" w:color="000000" w:sz="4" w:space="0"/>
              <w:left w:val="single" w:color="000000" w:sz="4" w:space="0"/>
              <w:bottom w:val="single" w:color="auto"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泃河及红一、二支沿岸</w:t>
            </w:r>
          </w:p>
        </w:tc>
        <w:tc>
          <w:tcPr>
            <w:tcW w:w="1515" w:type="dxa"/>
            <w:tcBorders>
              <w:top w:val="single" w:color="000000" w:sz="4" w:space="0"/>
              <w:left w:val="single" w:color="000000" w:sz="4" w:space="0"/>
              <w:bottom w:val="single" w:color="auto"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w:t>
            </w:r>
            <w:r>
              <w:rPr>
                <w:rFonts w:hint="eastAsia" w:eastAsia="仿宋_GB2312" w:cs="Times New Roman"/>
                <w:color w:val="000000"/>
                <w:kern w:val="0"/>
                <w:sz w:val="21"/>
                <w:szCs w:val="21"/>
              </w:rPr>
              <w:t>—</w:t>
            </w: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1179" w:type="dxa"/>
            <w:tcBorders>
              <w:top w:val="single" w:color="000000" w:sz="4" w:space="0"/>
              <w:left w:val="single" w:color="000000" w:sz="4" w:space="0"/>
              <w:bottom w:val="single" w:color="auto" w:sz="4" w:space="0"/>
              <w:right w:val="single" w:color="000000" w:sz="4" w:space="0"/>
            </w:tcBorders>
            <w:tcMar>
              <w:left w:w="11" w:type="dxa"/>
              <w:right w:w="11" w:type="dxa"/>
            </w:tcMar>
            <w:vAlign w:val="center"/>
          </w:tcPr>
          <w:p>
            <w:pPr>
              <w:snapToGrid w:val="0"/>
              <w:spacing w:line="240" w:lineRule="auto"/>
              <w:ind w:firstLine="0" w:firstLineChars="0"/>
              <w:jc w:val="center"/>
              <w:rPr>
                <w:rFonts w:cs="Times New Roman"/>
                <w:sz w:val="21"/>
                <w:szCs w:val="21"/>
              </w:rPr>
            </w:pPr>
            <w:r>
              <w:rPr>
                <w:rFonts w:eastAsia="仿宋_GB2312" w:cs="Times New Roman"/>
                <w:color w:val="000000"/>
                <w:kern w:val="0"/>
                <w:sz w:val="21"/>
                <w:szCs w:val="21"/>
              </w:rPr>
              <w:t>三河市政府</w:t>
            </w:r>
          </w:p>
        </w:tc>
        <w:tc>
          <w:tcPr>
            <w:tcW w:w="4014" w:type="dxa"/>
            <w:tcBorders>
              <w:top w:val="single" w:color="000000" w:sz="4" w:space="0"/>
              <w:left w:val="single" w:color="000000" w:sz="4" w:space="0"/>
              <w:bottom w:val="single" w:color="auto"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通过第三方购买服务对</w:t>
            </w:r>
            <w:r>
              <w:rPr>
                <w:rFonts w:eastAsia="仿宋" w:cs="Times New Roman"/>
                <w:color w:val="000000"/>
                <w:kern w:val="0"/>
                <w:sz w:val="21"/>
                <w:szCs w:val="21"/>
              </w:rPr>
              <w:t>泃</w:t>
            </w:r>
            <w:r>
              <w:rPr>
                <w:rFonts w:eastAsia="仿宋_GB2312" w:cs="Times New Roman"/>
                <w:color w:val="000000"/>
                <w:kern w:val="0"/>
                <w:sz w:val="21"/>
                <w:szCs w:val="21"/>
              </w:rPr>
              <w:t>河及红一、二支沿岸进行收运，建立生活垃圾收运体系。</w:t>
            </w:r>
          </w:p>
        </w:tc>
        <w:tc>
          <w:tcPr>
            <w:tcW w:w="1155" w:type="dxa"/>
            <w:tcBorders>
              <w:top w:val="single" w:color="000000" w:sz="4" w:space="0"/>
              <w:left w:val="single" w:color="000000" w:sz="4" w:space="0"/>
              <w:bottom w:val="single" w:color="auto"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2000</w:t>
            </w:r>
          </w:p>
        </w:tc>
      </w:tr>
      <w:tr>
        <w:tblPrEx>
          <w:tblLayout w:type="fixed"/>
          <w:tblCellMar>
            <w:top w:w="15" w:type="dxa"/>
            <w:left w:w="108" w:type="dxa"/>
            <w:bottom w:w="15" w:type="dxa"/>
            <w:right w:w="108" w:type="dxa"/>
          </w:tblCellMar>
        </w:tblPrEx>
        <w:trPr>
          <w:trHeight w:val="869" w:hRule="atLeast"/>
          <w:jc w:val="center"/>
        </w:trPr>
        <w:tc>
          <w:tcPr>
            <w:tcW w:w="48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3</w:t>
            </w:r>
          </w:p>
        </w:tc>
        <w:tc>
          <w:tcPr>
            <w:tcW w:w="8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331" w:type="dxa"/>
            <w:tcBorders>
              <w:top w:val="single" w:color="000000" w:sz="4" w:space="0"/>
              <w:left w:val="single" w:color="000000" w:sz="4" w:space="0"/>
              <w:bottom w:val="single" w:color="000000" w:sz="4" w:space="0"/>
              <w:right w:val="single" w:color="auto"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城镇污水配套管网及雨污分流改造工程</w:t>
            </w:r>
          </w:p>
        </w:tc>
        <w:tc>
          <w:tcPr>
            <w:tcW w:w="1716"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西环路南段雨污分流工程</w:t>
            </w:r>
          </w:p>
        </w:tc>
        <w:tc>
          <w:tcPr>
            <w:tcW w:w="992"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阳大街至南环路，道路西侧</w:t>
            </w:r>
          </w:p>
        </w:tc>
        <w:tc>
          <w:tcPr>
            <w:tcW w:w="1515"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w:t>
            </w:r>
            <w:r>
              <w:rPr>
                <w:rFonts w:hint="eastAsia" w:eastAsia="仿宋_GB2312" w:cs="Times New Roman"/>
                <w:color w:val="000000"/>
                <w:kern w:val="0"/>
                <w:sz w:val="21"/>
                <w:szCs w:val="21"/>
              </w:rPr>
              <w:t>—</w:t>
            </w: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1179"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snapToGrid w:val="0"/>
              <w:spacing w:line="240" w:lineRule="auto"/>
              <w:ind w:firstLine="0" w:firstLineChars="0"/>
              <w:jc w:val="center"/>
              <w:rPr>
                <w:rFonts w:cs="Times New Roman"/>
                <w:sz w:val="21"/>
                <w:szCs w:val="21"/>
              </w:rPr>
            </w:pPr>
            <w:r>
              <w:rPr>
                <w:rFonts w:eastAsia="仿宋_GB2312" w:cs="Times New Roman"/>
                <w:color w:val="000000"/>
                <w:kern w:val="0"/>
                <w:sz w:val="21"/>
                <w:szCs w:val="21"/>
              </w:rPr>
              <w:t>三河市政府</w:t>
            </w:r>
          </w:p>
        </w:tc>
        <w:tc>
          <w:tcPr>
            <w:tcW w:w="4014"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为完善城市排水管网，拟于西半幅主路面内铺设雨、污水管道各900延米，恢复沥青混凝土路面9000平方米。</w:t>
            </w:r>
          </w:p>
        </w:tc>
        <w:tc>
          <w:tcPr>
            <w:tcW w:w="1155"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950</w:t>
            </w:r>
          </w:p>
        </w:tc>
      </w:tr>
      <w:tr>
        <w:tblPrEx>
          <w:tblLayout w:type="fixed"/>
          <w:tblCellMar>
            <w:top w:w="15" w:type="dxa"/>
            <w:left w:w="108" w:type="dxa"/>
            <w:bottom w:w="15" w:type="dxa"/>
            <w:right w:w="108" w:type="dxa"/>
          </w:tblCellMar>
        </w:tblPrEx>
        <w:trPr>
          <w:trHeight w:val="1931" w:hRule="atLeast"/>
          <w:jc w:val="center"/>
        </w:trPr>
        <w:tc>
          <w:tcPr>
            <w:tcW w:w="48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4</w:t>
            </w:r>
          </w:p>
        </w:tc>
        <w:tc>
          <w:tcPr>
            <w:tcW w:w="8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331" w:type="dxa"/>
            <w:tcBorders>
              <w:top w:val="single" w:color="000000" w:sz="4" w:space="0"/>
              <w:left w:val="single" w:color="000000" w:sz="4" w:space="0"/>
              <w:bottom w:val="single" w:color="000000" w:sz="4" w:space="0"/>
              <w:right w:val="single" w:color="auto"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城镇污水配套管网及雨污分流改造工程</w:t>
            </w:r>
          </w:p>
        </w:tc>
        <w:tc>
          <w:tcPr>
            <w:tcW w:w="1716"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育才路南段雨污分流改造工程</w:t>
            </w:r>
          </w:p>
        </w:tc>
        <w:tc>
          <w:tcPr>
            <w:tcW w:w="992"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鼎盛街至南环路</w:t>
            </w:r>
          </w:p>
        </w:tc>
        <w:tc>
          <w:tcPr>
            <w:tcW w:w="1515"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w:t>
            </w:r>
            <w:r>
              <w:rPr>
                <w:rFonts w:hint="eastAsia" w:eastAsia="仿宋_GB2312" w:cs="Times New Roman"/>
                <w:color w:val="000000"/>
                <w:kern w:val="0"/>
                <w:sz w:val="21"/>
                <w:szCs w:val="21"/>
              </w:rPr>
              <w:t>—</w:t>
            </w: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1179"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snapToGrid w:val="0"/>
              <w:spacing w:line="240" w:lineRule="auto"/>
              <w:ind w:firstLine="0" w:firstLineChars="0"/>
              <w:jc w:val="center"/>
              <w:rPr>
                <w:rFonts w:cs="Times New Roman"/>
                <w:sz w:val="21"/>
                <w:szCs w:val="21"/>
              </w:rPr>
            </w:pPr>
            <w:r>
              <w:rPr>
                <w:rFonts w:eastAsia="仿宋_GB2312" w:cs="Times New Roman"/>
                <w:color w:val="000000"/>
                <w:kern w:val="0"/>
                <w:sz w:val="21"/>
                <w:szCs w:val="21"/>
              </w:rPr>
              <w:t>三河市政府</w:t>
            </w:r>
          </w:p>
        </w:tc>
        <w:tc>
          <w:tcPr>
            <w:tcW w:w="4014"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此段雨污水管道还在混流，为进一步推进我市雨污分流改造，拟对育才路南段（鼎盛街-南环路）进行改造，该段道路全长568.56米，现状路面宽9米，共计铺设雨水管道568.56延米，铺设污水管道568.56延米，恢复沥青混凝土路面57</w:t>
            </w:r>
            <w:r>
              <w:rPr>
                <w:rFonts w:hint="eastAsia" w:eastAsia="仿宋_GB2312" w:cs="Times New Roman"/>
                <w:color w:val="000000"/>
                <w:kern w:val="0"/>
                <w:sz w:val="21"/>
                <w:szCs w:val="21"/>
              </w:rPr>
              <w:t>00</w:t>
            </w:r>
            <w:r>
              <w:rPr>
                <w:rFonts w:eastAsia="仿宋_GB2312" w:cs="Times New Roman"/>
                <w:color w:val="000000"/>
                <w:kern w:val="0"/>
                <w:sz w:val="21"/>
                <w:szCs w:val="21"/>
              </w:rPr>
              <w:t>平方米，人行道硬化面积34</w:t>
            </w:r>
            <w:r>
              <w:rPr>
                <w:rFonts w:hint="eastAsia" w:eastAsia="仿宋_GB2312" w:cs="Times New Roman"/>
                <w:color w:val="000000"/>
                <w:kern w:val="0"/>
                <w:sz w:val="21"/>
                <w:szCs w:val="21"/>
              </w:rPr>
              <w:t>00</w:t>
            </w:r>
            <w:r>
              <w:rPr>
                <w:rFonts w:eastAsia="仿宋_GB2312" w:cs="Times New Roman"/>
                <w:color w:val="000000"/>
                <w:kern w:val="0"/>
                <w:sz w:val="21"/>
                <w:szCs w:val="21"/>
              </w:rPr>
              <w:t>平方米。</w:t>
            </w:r>
          </w:p>
        </w:tc>
        <w:tc>
          <w:tcPr>
            <w:tcW w:w="1155"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600</w:t>
            </w:r>
          </w:p>
        </w:tc>
      </w:tr>
      <w:tr>
        <w:tblPrEx>
          <w:tblLayout w:type="fixed"/>
          <w:tblCellMar>
            <w:top w:w="15" w:type="dxa"/>
            <w:left w:w="108" w:type="dxa"/>
            <w:bottom w:w="15" w:type="dxa"/>
            <w:right w:w="108" w:type="dxa"/>
          </w:tblCellMar>
        </w:tblPrEx>
        <w:trPr>
          <w:trHeight w:val="85" w:hRule="atLeast"/>
          <w:jc w:val="center"/>
        </w:trPr>
        <w:tc>
          <w:tcPr>
            <w:tcW w:w="48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5</w:t>
            </w:r>
          </w:p>
        </w:tc>
        <w:tc>
          <w:tcPr>
            <w:tcW w:w="8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331" w:type="dxa"/>
            <w:tcBorders>
              <w:top w:val="single" w:color="000000" w:sz="4" w:space="0"/>
              <w:left w:val="single" w:color="000000" w:sz="4" w:space="0"/>
              <w:bottom w:val="single" w:color="000000" w:sz="4" w:space="0"/>
              <w:right w:val="single" w:color="auto"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城镇污水配套管网及雨污分流改造工程</w:t>
            </w:r>
          </w:p>
        </w:tc>
        <w:tc>
          <w:tcPr>
            <w:tcW w:w="1716"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纵八路及华泰街改造工程</w:t>
            </w:r>
          </w:p>
        </w:tc>
        <w:tc>
          <w:tcPr>
            <w:tcW w:w="992"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三河市区内，纵八路和华泰街</w:t>
            </w:r>
          </w:p>
        </w:tc>
        <w:tc>
          <w:tcPr>
            <w:tcW w:w="1515"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w:t>
            </w:r>
            <w:r>
              <w:rPr>
                <w:rFonts w:hint="eastAsia" w:eastAsia="仿宋_GB2312" w:cs="Times New Roman"/>
                <w:color w:val="000000"/>
                <w:kern w:val="0"/>
                <w:sz w:val="21"/>
                <w:szCs w:val="21"/>
              </w:rPr>
              <w:t>—</w:t>
            </w: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1179"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snapToGrid w:val="0"/>
              <w:spacing w:line="240" w:lineRule="auto"/>
              <w:ind w:firstLine="0" w:firstLineChars="0"/>
              <w:jc w:val="center"/>
              <w:rPr>
                <w:rFonts w:cs="Times New Roman"/>
                <w:sz w:val="21"/>
                <w:szCs w:val="21"/>
              </w:rPr>
            </w:pPr>
            <w:r>
              <w:rPr>
                <w:rFonts w:eastAsia="仿宋_GB2312" w:cs="Times New Roman"/>
                <w:color w:val="000000"/>
                <w:kern w:val="0"/>
                <w:sz w:val="21"/>
                <w:szCs w:val="21"/>
              </w:rPr>
              <w:t>三河市政府</w:t>
            </w:r>
          </w:p>
        </w:tc>
        <w:tc>
          <w:tcPr>
            <w:tcW w:w="4014"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拟对纵八路进行雨污分流改造，修复主路面及人行道，铺设雨、污水管道各256.9米，铺设沥青混凝土路面2000平方米，人行道硬化面积3100平方米。对华泰街现有主路面及人行道进行改造，共计铺设沥青混凝土路面4500平方米，人行道硬化面积7700平方米。</w:t>
            </w:r>
          </w:p>
        </w:tc>
        <w:tc>
          <w:tcPr>
            <w:tcW w:w="1155"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460</w:t>
            </w:r>
          </w:p>
        </w:tc>
      </w:tr>
      <w:tr>
        <w:tblPrEx>
          <w:tblLayout w:type="fixed"/>
          <w:tblCellMar>
            <w:top w:w="15" w:type="dxa"/>
            <w:left w:w="108" w:type="dxa"/>
            <w:bottom w:w="15" w:type="dxa"/>
            <w:right w:w="108" w:type="dxa"/>
          </w:tblCellMar>
        </w:tblPrEx>
        <w:trPr>
          <w:trHeight w:val="2016" w:hRule="atLeast"/>
          <w:jc w:val="center"/>
        </w:trPr>
        <w:tc>
          <w:tcPr>
            <w:tcW w:w="48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6</w:t>
            </w:r>
          </w:p>
        </w:tc>
        <w:tc>
          <w:tcPr>
            <w:tcW w:w="8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331" w:type="dxa"/>
            <w:tcBorders>
              <w:top w:val="single" w:color="000000" w:sz="4" w:space="0"/>
              <w:left w:val="single" w:color="000000" w:sz="4" w:space="0"/>
              <w:bottom w:val="single" w:color="000000" w:sz="4" w:space="0"/>
              <w:right w:val="single" w:color="auto"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城镇污水配套管网及雨污分流改造工程</w:t>
            </w:r>
          </w:p>
        </w:tc>
        <w:tc>
          <w:tcPr>
            <w:tcW w:w="1716"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府东路北段改造工程</w:t>
            </w:r>
          </w:p>
        </w:tc>
        <w:tc>
          <w:tcPr>
            <w:tcW w:w="992"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三河市区内，府北街至</w:t>
            </w:r>
            <w:r>
              <w:rPr>
                <w:rFonts w:eastAsia="仿宋" w:cs="Times New Roman"/>
                <w:color w:val="000000"/>
                <w:kern w:val="0"/>
                <w:sz w:val="21"/>
                <w:szCs w:val="21"/>
              </w:rPr>
              <w:t>泃</w:t>
            </w:r>
            <w:r>
              <w:rPr>
                <w:rFonts w:eastAsia="仿宋_GB2312" w:cs="Times New Roman"/>
                <w:color w:val="000000"/>
                <w:kern w:val="0"/>
                <w:sz w:val="21"/>
                <w:szCs w:val="21"/>
              </w:rPr>
              <w:t>阳大街</w:t>
            </w:r>
          </w:p>
        </w:tc>
        <w:tc>
          <w:tcPr>
            <w:tcW w:w="1515"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w:t>
            </w:r>
            <w:r>
              <w:rPr>
                <w:rFonts w:hint="eastAsia" w:eastAsia="仿宋_GB2312" w:cs="Times New Roman"/>
                <w:color w:val="000000"/>
                <w:kern w:val="0"/>
                <w:sz w:val="21"/>
                <w:szCs w:val="21"/>
              </w:rPr>
              <w:t>—</w:t>
            </w: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1179"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snapToGrid w:val="0"/>
              <w:spacing w:line="240" w:lineRule="auto"/>
              <w:ind w:firstLine="0" w:firstLineChars="0"/>
              <w:jc w:val="center"/>
              <w:rPr>
                <w:rFonts w:cs="Times New Roman"/>
                <w:sz w:val="21"/>
                <w:szCs w:val="21"/>
              </w:rPr>
            </w:pPr>
            <w:r>
              <w:rPr>
                <w:rFonts w:eastAsia="仿宋_GB2312" w:cs="Times New Roman"/>
                <w:color w:val="000000"/>
                <w:kern w:val="0"/>
                <w:sz w:val="21"/>
                <w:szCs w:val="21"/>
              </w:rPr>
              <w:t>三河市政府</w:t>
            </w:r>
          </w:p>
        </w:tc>
        <w:tc>
          <w:tcPr>
            <w:tcW w:w="4014"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拟实施府东路北段排水改造工程，为该段道路单独建立一套排水系统，雨水管道经府东路引入</w:t>
            </w:r>
            <w:r>
              <w:rPr>
                <w:rFonts w:eastAsia="仿宋" w:cs="Times New Roman"/>
                <w:kern w:val="0"/>
                <w:sz w:val="21"/>
                <w:szCs w:val="21"/>
              </w:rPr>
              <w:t>泃</w:t>
            </w:r>
            <w:r>
              <w:rPr>
                <w:rFonts w:eastAsia="仿宋_GB2312" w:cs="Times New Roman"/>
                <w:kern w:val="0"/>
                <w:sz w:val="21"/>
                <w:szCs w:val="21"/>
              </w:rPr>
              <w:t>阳大街辅路，后经</w:t>
            </w:r>
            <w:r>
              <w:rPr>
                <w:rFonts w:eastAsia="仿宋" w:cs="Times New Roman"/>
                <w:kern w:val="0"/>
                <w:sz w:val="21"/>
                <w:szCs w:val="21"/>
              </w:rPr>
              <w:t>泃</w:t>
            </w:r>
            <w:r>
              <w:rPr>
                <w:rFonts w:eastAsia="仿宋_GB2312" w:cs="Times New Roman"/>
                <w:kern w:val="0"/>
                <w:sz w:val="21"/>
                <w:szCs w:val="21"/>
              </w:rPr>
              <w:t>阳大街辅路向东排至</w:t>
            </w:r>
            <w:r>
              <w:rPr>
                <w:rFonts w:eastAsia="仿宋" w:cs="Times New Roman"/>
                <w:kern w:val="0"/>
                <w:sz w:val="21"/>
                <w:szCs w:val="21"/>
              </w:rPr>
              <w:t>泃</w:t>
            </w:r>
            <w:r>
              <w:rPr>
                <w:rFonts w:eastAsia="仿宋_GB2312" w:cs="Times New Roman"/>
                <w:kern w:val="0"/>
                <w:sz w:val="21"/>
                <w:szCs w:val="21"/>
              </w:rPr>
              <w:t>河，共计铺设雨水管道1900延米，铺设污水管道400延米，同时铺设路面，修复人行道。</w:t>
            </w:r>
          </w:p>
        </w:tc>
        <w:tc>
          <w:tcPr>
            <w:tcW w:w="1155"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1500</w:t>
            </w:r>
          </w:p>
        </w:tc>
      </w:tr>
      <w:tr>
        <w:tblPrEx>
          <w:tblLayout w:type="fixed"/>
          <w:tblCellMar>
            <w:top w:w="15" w:type="dxa"/>
            <w:left w:w="108" w:type="dxa"/>
            <w:bottom w:w="15" w:type="dxa"/>
            <w:right w:w="108" w:type="dxa"/>
          </w:tblCellMar>
        </w:tblPrEx>
        <w:trPr>
          <w:trHeight w:val="1219" w:hRule="atLeast"/>
          <w:jc w:val="center"/>
        </w:trPr>
        <w:tc>
          <w:tcPr>
            <w:tcW w:w="48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7</w:t>
            </w:r>
          </w:p>
        </w:tc>
        <w:tc>
          <w:tcPr>
            <w:tcW w:w="8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331" w:type="dxa"/>
            <w:tcBorders>
              <w:top w:val="single" w:color="000000" w:sz="4" w:space="0"/>
              <w:left w:val="single" w:color="000000" w:sz="4" w:space="0"/>
              <w:bottom w:val="single" w:color="000000" w:sz="4" w:space="0"/>
              <w:right w:val="single" w:color="auto"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再生水利用工程</w:t>
            </w:r>
          </w:p>
        </w:tc>
        <w:tc>
          <w:tcPr>
            <w:tcW w:w="1716"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中水回用干管建设工程</w:t>
            </w:r>
          </w:p>
        </w:tc>
        <w:tc>
          <w:tcPr>
            <w:tcW w:w="992"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冯庄子灌渠和红娘港</w:t>
            </w:r>
          </w:p>
        </w:tc>
        <w:tc>
          <w:tcPr>
            <w:tcW w:w="1515"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2019</w:t>
            </w:r>
            <w:r>
              <w:rPr>
                <w:rFonts w:hint="eastAsia" w:eastAsia="仿宋_GB2312" w:cs="Times New Roman"/>
                <w:color w:val="000000"/>
                <w:kern w:val="0"/>
                <w:sz w:val="21"/>
                <w:szCs w:val="21"/>
              </w:rPr>
              <w:t>—</w:t>
            </w: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1179"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snapToGrid w:val="0"/>
              <w:spacing w:line="240" w:lineRule="auto"/>
              <w:ind w:firstLine="0" w:firstLineChars="0"/>
              <w:jc w:val="center"/>
              <w:rPr>
                <w:rFonts w:cs="Times New Roman"/>
                <w:sz w:val="21"/>
                <w:szCs w:val="21"/>
              </w:rPr>
            </w:pPr>
            <w:r>
              <w:rPr>
                <w:rFonts w:eastAsia="仿宋_GB2312" w:cs="Times New Roman"/>
                <w:color w:val="000000"/>
                <w:kern w:val="0"/>
                <w:sz w:val="21"/>
                <w:szCs w:val="21"/>
              </w:rPr>
              <w:t>三河市政府</w:t>
            </w:r>
          </w:p>
        </w:tc>
        <w:tc>
          <w:tcPr>
            <w:tcW w:w="4014"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在冯庄子灌渠和红娘港铺设两道中水回用干管，将城区东南污水处理厂和经开区污水处理厂尾水用于补充河道生态用水。</w:t>
            </w:r>
          </w:p>
        </w:tc>
        <w:tc>
          <w:tcPr>
            <w:tcW w:w="1155"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5000</w:t>
            </w:r>
          </w:p>
        </w:tc>
      </w:tr>
      <w:tr>
        <w:tblPrEx>
          <w:tblLayout w:type="fixed"/>
          <w:tblCellMar>
            <w:top w:w="15" w:type="dxa"/>
            <w:left w:w="108" w:type="dxa"/>
            <w:bottom w:w="15" w:type="dxa"/>
            <w:right w:w="108" w:type="dxa"/>
          </w:tblCellMar>
        </w:tblPrEx>
        <w:trPr>
          <w:trHeight w:val="454" w:hRule="atLeast"/>
          <w:jc w:val="center"/>
        </w:trPr>
        <w:tc>
          <w:tcPr>
            <w:tcW w:w="12105" w:type="dxa"/>
            <w:gridSpan w:val="8"/>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2</w:t>
            </w:r>
            <w:r>
              <w:rPr>
                <w:rFonts w:hint="eastAsia" w:eastAsia="仿宋_GB2312" w:cs="Times New Roman"/>
                <w:b/>
                <w:bCs/>
                <w:color w:val="000000"/>
                <w:kern w:val="0"/>
                <w:sz w:val="21"/>
                <w:szCs w:val="21"/>
              </w:rPr>
              <w:t>-</w:t>
            </w:r>
            <w:r>
              <w:rPr>
                <w:rFonts w:eastAsia="仿宋_GB2312" w:cs="Times New Roman"/>
                <w:b/>
                <w:bCs/>
                <w:color w:val="000000"/>
                <w:kern w:val="0"/>
                <w:sz w:val="21"/>
                <w:szCs w:val="21"/>
              </w:rPr>
              <w:t>流域河道综合治理与生态修复类型项目小计</w:t>
            </w:r>
          </w:p>
        </w:tc>
        <w:tc>
          <w:tcPr>
            <w:tcW w:w="115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2400</w:t>
            </w:r>
          </w:p>
        </w:tc>
      </w:tr>
      <w:tr>
        <w:tblPrEx>
          <w:tblLayout w:type="fixed"/>
          <w:tblCellMar>
            <w:top w:w="15" w:type="dxa"/>
            <w:left w:w="108" w:type="dxa"/>
            <w:bottom w:w="15" w:type="dxa"/>
            <w:right w:w="108" w:type="dxa"/>
          </w:tblCellMar>
        </w:tblPrEx>
        <w:trPr>
          <w:trHeight w:val="1484" w:hRule="atLeast"/>
          <w:jc w:val="center"/>
        </w:trPr>
        <w:tc>
          <w:tcPr>
            <w:tcW w:w="48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1</w:t>
            </w:r>
          </w:p>
        </w:tc>
        <w:tc>
          <w:tcPr>
            <w:tcW w:w="8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331"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河道自然生态恢复工程</w:t>
            </w:r>
          </w:p>
        </w:tc>
        <w:tc>
          <w:tcPr>
            <w:tcW w:w="171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河、红一支自然生态系统建设工程</w:t>
            </w:r>
          </w:p>
        </w:tc>
        <w:tc>
          <w:tcPr>
            <w:tcW w:w="992"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三河东大桥考核断面上游，红一支下游</w:t>
            </w:r>
          </w:p>
        </w:tc>
        <w:tc>
          <w:tcPr>
            <w:tcW w:w="151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2019</w:t>
            </w:r>
            <w:r>
              <w:rPr>
                <w:rFonts w:hint="eastAsia" w:eastAsia="仿宋_GB2312" w:cs="Times New Roman"/>
                <w:color w:val="000000"/>
                <w:kern w:val="0"/>
                <w:sz w:val="21"/>
                <w:szCs w:val="21"/>
              </w:rPr>
              <w:t>—</w:t>
            </w: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117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4014"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河部分河段岸坡治理，水生植物种植、生态浮岛等水生态系统建设；在</w:t>
            </w:r>
            <w:r>
              <w:rPr>
                <w:rFonts w:eastAsia="仿宋" w:cs="Times New Roman"/>
                <w:color w:val="000000"/>
                <w:kern w:val="0"/>
                <w:sz w:val="21"/>
                <w:szCs w:val="21"/>
              </w:rPr>
              <w:t>泃</w:t>
            </w:r>
            <w:r>
              <w:rPr>
                <w:rFonts w:eastAsia="仿宋_GB2312" w:cs="Times New Roman"/>
                <w:color w:val="000000"/>
                <w:kern w:val="0"/>
                <w:sz w:val="21"/>
                <w:szCs w:val="21"/>
              </w:rPr>
              <w:t>河红旗村附近、红一支分别建设用于净化河道水质的表流人工湿地。</w:t>
            </w:r>
          </w:p>
        </w:tc>
        <w:tc>
          <w:tcPr>
            <w:tcW w:w="115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1600</w:t>
            </w:r>
          </w:p>
        </w:tc>
      </w:tr>
      <w:tr>
        <w:tblPrEx>
          <w:tblLayout w:type="fixed"/>
          <w:tblCellMar>
            <w:top w:w="15" w:type="dxa"/>
            <w:left w:w="108" w:type="dxa"/>
            <w:bottom w:w="15" w:type="dxa"/>
            <w:right w:w="108" w:type="dxa"/>
          </w:tblCellMar>
        </w:tblPrEx>
        <w:trPr>
          <w:trHeight w:val="1148" w:hRule="atLeast"/>
          <w:jc w:val="center"/>
        </w:trPr>
        <w:tc>
          <w:tcPr>
            <w:tcW w:w="48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2</w:t>
            </w:r>
          </w:p>
        </w:tc>
        <w:tc>
          <w:tcPr>
            <w:tcW w:w="8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331"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河道管护工程</w:t>
            </w:r>
          </w:p>
        </w:tc>
        <w:tc>
          <w:tcPr>
            <w:tcW w:w="171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泃河、红一支、红二支沿岸及河道垃圾打捞工程</w:t>
            </w:r>
          </w:p>
        </w:tc>
        <w:tc>
          <w:tcPr>
            <w:tcW w:w="992"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 w:cs="Times New Roman"/>
                <w:color w:val="000000"/>
                <w:kern w:val="0"/>
                <w:sz w:val="21"/>
                <w:szCs w:val="21"/>
              </w:rPr>
            </w:pPr>
            <w:r>
              <w:rPr>
                <w:rFonts w:eastAsia="仿宋" w:cs="Times New Roman"/>
                <w:color w:val="000000"/>
                <w:kern w:val="0"/>
                <w:sz w:val="21"/>
                <w:szCs w:val="21"/>
              </w:rPr>
              <w:t>泃</w:t>
            </w:r>
            <w:r>
              <w:rPr>
                <w:rFonts w:eastAsia="仿宋_GB2312" w:cs="Times New Roman"/>
                <w:color w:val="000000"/>
                <w:kern w:val="0"/>
                <w:sz w:val="21"/>
                <w:szCs w:val="21"/>
              </w:rPr>
              <w:t>河、红一支、红二支</w:t>
            </w:r>
          </w:p>
        </w:tc>
        <w:tc>
          <w:tcPr>
            <w:tcW w:w="151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2019</w:t>
            </w:r>
            <w:r>
              <w:rPr>
                <w:rFonts w:hint="eastAsia" w:eastAsia="仿宋_GB2312" w:cs="Times New Roman"/>
                <w:color w:val="000000"/>
                <w:kern w:val="0"/>
                <w:sz w:val="21"/>
                <w:szCs w:val="21"/>
              </w:rPr>
              <w:t>—</w:t>
            </w: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117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4014"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通过第三方购买服务定期开展</w:t>
            </w:r>
            <w:r>
              <w:rPr>
                <w:rFonts w:eastAsia="仿宋" w:cs="Times New Roman"/>
                <w:color w:val="000000"/>
                <w:kern w:val="0"/>
                <w:sz w:val="21"/>
                <w:szCs w:val="21"/>
              </w:rPr>
              <w:t>泃</w:t>
            </w:r>
            <w:r>
              <w:rPr>
                <w:rFonts w:eastAsia="仿宋_GB2312" w:cs="Times New Roman"/>
                <w:color w:val="000000"/>
                <w:kern w:val="0"/>
                <w:sz w:val="21"/>
                <w:szCs w:val="21"/>
              </w:rPr>
              <w:t>河、红一支、红二支河道垃圾、漂浮物、水草清理等。</w:t>
            </w:r>
          </w:p>
        </w:tc>
        <w:tc>
          <w:tcPr>
            <w:tcW w:w="115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300</w:t>
            </w:r>
          </w:p>
        </w:tc>
      </w:tr>
      <w:tr>
        <w:tblPrEx>
          <w:tblLayout w:type="fixed"/>
          <w:tblCellMar>
            <w:top w:w="15" w:type="dxa"/>
            <w:left w:w="108" w:type="dxa"/>
            <w:bottom w:w="15" w:type="dxa"/>
            <w:right w:w="108" w:type="dxa"/>
          </w:tblCellMar>
        </w:tblPrEx>
        <w:trPr>
          <w:trHeight w:val="1182" w:hRule="atLeast"/>
          <w:jc w:val="center"/>
        </w:trPr>
        <w:tc>
          <w:tcPr>
            <w:tcW w:w="48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3</w:t>
            </w:r>
          </w:p>
        </w:tc>
        <w:tc>
          <w:tcPr>
            <w:tcW w:w="870"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w:t>
            </w:r>
          </w:p>
        </w:tc>
        <w:tc>
          <w:tcPr>
            <w:tcW w:w="1331"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河道藻类治理及综合管控工程</w:t>
            </w:r>
          </w:p>
        </w:tc>
        <w:tc>
          <w:tcPr>
            <w:tcW w:w="1716"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泃河三河东大桥断面藻类治理及综合管控工程</w:t>
            </w:r>
          </w:p>
        </w:tc>
        <w:tc>
          <w:tcPr>
            <w:tcW w:w="992"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三河东大桥考核断面上游</w:t>
            </w:r>
          </w:p>
        </w:tc>
        <w:tc>
          <w:tcPr>
            <w:tcW w:w="151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2019</w:t>
            </w:r>
            <w:r>
              <w:rPr>
                <w:rFonts w:hint="eastAsia" w:eastAsia="仿宋_GB2312" w:cs="Times New Roman"/>
                <w:color w:val="000000"/>
                <w:kern w:val="0"/>
                <w:sz w:val="21"/>
                <w:szCs w:val="21"/>
              </w:rPr>
              <w:t>—</w:t>
            </w: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1179"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三河市政府</w:t>
            </w:r>
          </w:p>
        </w:tc>
        <w:tc>
          <w:tcPr>
            <w:tcW w:w="4014"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在三河东大桥断面上游河段采用加压除藻船、藻类抑制剂、改性土壤等措施开展藻类的治理；在三河东大桥断面上游1.5公里开展生态维护、藻类监测、水量调度、垃圾清理等维护水质的精细化管理措施。</w:t>
            </w:r>
          </w:p>
        </w:tc>
        <w:tc>
          <w:tcPr>
            <w:tcW w:w="115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500</w:t>
            </w:r>
          </w:p>
        </w:tc>
      </w:tr>
    </w:tbl>
    <w:p>
      <w:pPr>
        <w:pStyle w:val="14"/>
        <w:autoSpaceDN w:val="0"/>
        <w:adjustRightInd w:val="0"/>
        <w:snapToGrid w:val="0"/>
        <w:spacing w:line="590" w:lineRule="exact"/>
        <w:ind w:firstLine="640"/>
        <w:rPr>
          <w:rFonts w:ascii="Times New Roman" w:hAnsi="Times New Roman" w:eastAsia="仿宋_GB2312"/>
          <w:sz w:val="32"/>
          <w:szCs w:val="32"/>
        </w:rPr>
        <w:sectPr>
          <w:footerReference r:id="rId17" w:type="default"/>
          <w:footerReference r:id="rId18" w:type="even"/>
          <w:pgSz w:w="16838" w:h="11906" w:orient="landscape"/>
          <w:pgMar w:top="1531" w:right="2098" w:bottom="1531" w:left="1474" w:header="851" w:footer="851" w:gutter="0"/>
          <w:pgNumType w:start="61"/>
          <w:cols w:space="720" w:num="1"/>
          <w:docGrid w:type="lines" w:linePitch="326" w:charSpace="0"/>
        </w:sectPr>
      </w:pPr>
    </w:p>
    <w:p>
      <w:pPr>
        <w:pStyle w:val="2"/>
        <w:autoSpaceDN w:val="0"/>
        <w:snapToGrid w:val="0"/>
        <w:spacing w:line="590" w:lineRule="exact"/>
        <w:ind w:firstLine="0" w:firstLineChars="0"/>
        <w:jc w:val="center"/>
        <w:rPr>
          <w:rFonts w:eastAsia="方正小标宋简体"/>
          <w:sz w:val="44"/>
        </w:rPr>
      </w:pPr>
      <w:bookmarkStart w:id="128" w:name="_Toc23784048"/>
      <w:bookmarkStart w:id="129" w:name="_Toc22160"/>
      <w:bookmarkStart w:id="130" w:name="_Toc4165"/>
      <w:bookmarkStart w:id="131" w:name="_Toc8442"/>
      <w:bookmarkStart w:id="132" w:name="_Toc20176"/>
      <w:bookmarkStart w:id="133" w:name="_Toc460596303"/>
      <w:r>
        <w:rPr>
          <w:rFonts w:eastAsia="方正小标宋简体"/>
          <w:sz w:val="44"/>
        </w:rPr>
        <w:t>廊坊市潮白河水质达标方案（修订版）</w:t>
      </w:r>
    </w:p>
    <w:p>
      <w:pPr>
        <w:pStyle w:val="2"/>
        <w:ind w:left="640" w:firstLine="0" w:firstLineChars="0"/>
      </w:pPr>
    </w:p>
    <w:p>
      <w:pPr>
        <w:pStyle w:val="2"/>
        <w:spacing w:line="590" w:lineRule="exact"/>
        <w:ind w:left="640" w:firstLine="0" w:firstLineChars="0"/>
        <w:jc w:val="both"/>
      </w:pPr>
      <w:r>
        <w:t>一、总则</w:t>
      </w:r>
      <w:bookmarkEnd w:id="128"/>
      <w:bookmarkEnd w:id="129"/>
      <w:bookmarkEnd w:id="130"/>
      <w:bookmarkEnd w:id="131"/>
      <w:bookmarkEnd w:id="132"/>
      <w:bookmarkEnd w:id="133"/>
    </w:p>
    <w:p>
      <w:pPr>
        <w:pStyle w:val="3"/>
        <w:spacing w:line="590" w:lineRule="exact"/>
        <w:ind w:left="643" w:firstLine="0" w:firstLineChars="0"/>
        <w:rPr>
          <w:rFonts w:eastAsia="楷体_GB2312"/>
        </w:rPr>
      </w:pPr>
      <w:bookmarkStart w:id="134" w:name="_Toc23784049"/>
      <w:r>
        <w:rPr>
          <w:rFonts w:eastAsia="楷体_GB2312"/>
        </w:rPr>
        <w:t>1.1修订目的</w:t>
      </w:r>
      <w:bookmarkEnd w:id="134"/>
    </w:p>
    <w:p>
      <w:pPr>
        <w:pStyle w:val="14"/>
        <w:autoSpaceDN w:val="0"/>
        <w:snapToGrid w:val="0"/>
        <w:spacing w:line="590" w:lineRule="exact"/>
        <w:ind w:firstLine="640"/>
        <w:rPr>
          <w:rFonts w:ascii="Times New Roman" w:hAnsi="Times New Roman" w:eastAsia="仿宋_GB2312"/>
        </w:rPr>
      </w:pPr>
      <w:r>
        <w:rPr>
          <w:rFonts w:ascii="Times New Roman" w:hAnsi="Times New Roman" w:eastAsia="仿宋_GB2312"/>
          <w:sz w:val="32"/>
          <w:szCs w:val="32"/>
        </w:rPr>
        <w:t>为全面贯彻落实党的十九大精神，以习近平生态文明思想为指导，牢固树立新发展理念，坚决落实党中央、国务院关于生态文明建设和污染防治攻坚战的决策部署和省委省政府关于污染防治攻坚战相关要求，针对廊坊市重点河流水环境质量总体好转、污染源治理初见成效、新的污染形势逐步突显的局面，在新理念、新部署、新形势、新要求下，进一步保障水环境质量目标稳定达标，提高水环境管理系统化、科学化、法治化、精细化水平，特对《廊坊市潮白河水质达标方案》进行修订。</w:t>
      </w:r>
      <w:bookmarkStart w:id="135" w:name="_Toc446527263"/>
      <w:bookmarkStart w:id="136" w:name="_Toc460596305"/>
      <w:bookmarkStart w:id="137" w:name="_Toc8630"/>
      <w:bookmarkStart w:id="138" w:name="_Toc20097"/>
      <w:bookmarkStart w:id="139" w:name="_Toc6284"/>
      <w:bookmarkStart w:id="140" w:name="_Toc11102"/>
      <w:bookmarkStart w:id="141" w:name="_Toc445052279"/>
    </w:p>
    <w:p>
      <w:pPr>
        <w:pStyle w:val="3"/>
        <w:spacing w:line="590" w:lineRule="exact"/>
        <w:ind w:left="643" w:firstLine="0" w:firstLineChars="0"/>
        <w:rPr>
          <w:rFonts w:eastAsia="楷体_GB2312"/>
        </w:rPr>
      </w:pPr>
      <w:bookmarkStart w:id="142" w:name="_Toc23784050"/>
      <w:r>
        <w:rPr>
          <w:rFonts w:eastAsia="楷体_GB2312"/>
        </w:rPr>
        <w:t>1.2编制依据</w:t>
      </w:r>
      <w:bookmarkEnd w:id="135"/>
      <w:bookmarkEnd w:id="136"/>
      <w:bookmarkEnd w:id="137"/>
      <w:bookmarkEnd w:id="138"/>
      <w:bookmarkEnd w:id="139"/>
      <w:bookmarkEnd w:id="140"/>
      <w:bookmarkEnd w:id="141"/>
      <w:bookmarkEnd w:id="142"/>
      <w:bookmarkStart w:id="143" w:name="_Toc446527264"/>
      <w:bookmarkStart w:id="144" w:name="_Toc460596306"/>
      <w:bookmarkStart w:id="145" w:name="_Toc12871"/>
      <w:bookmarkStart w:id="146" w:name="_Toc3820"/>
      <w:bookmarkStart w:id="147" w:name="_Toc31360"/>
      <w:bookmarkStart w:id="148" w:name="_Toc16484"/>
      <w:bookmarkStart w:id="149" w:name="_Toc445052280"/>
    </w:p>
    <w:p>
      <w:pPr>
        <w:pStyle w:val="4"/>
        <w:spacing w:line="590" w:lineRule="exact"/>
        <w:ind w:firstLine="643"/>
      </w:pPr>
      <w:bookmarkStart w:id="150" w:name="_Toc23784051"/>
      <w:r>
        <w:t>1.2.1全国性法律、法规及规范性文件</w:t>
      </w:r>
      <w:bookmarkEnd w:id="143"/>
      <w:bookmarkEnd w:id="144"/>
      <w:bookmarkEnd w:id="145"/>
      <w:bookmarkEnd w:id="146"/>
      <w:bookmarkEnd w:id="147"/>
      <w:bookmarkEnd w:id="148"/>
      <w:bookmarkEnd w:id="149"/>
      <w:bookmarkEnd w:id="150"/>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（1）《中华人民共和国环境保护法》</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（2）《中华人民共和国水污染防治法》</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（3）《中华人民共和国水法》</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（4）《中华人民共和国清洁生产促进法》</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（5）《中华人民共和国渔业法》</w:t>
      </w:r>
    </w:p>
    <w:p>
      <w:pPr>
        <w:pStyle w:val="14"/>
        <w:autoSpaceDN w:val="0"/>
        <w:adjustRightInd w:val="0"/>
        <w:snapToGrid w:val="0"/>
        <w:spacing w:line="590" w:lineRule="exact"/>
        <w:ind w:firstLine="640"/>
        <w:rPr>
          <w:rFonts w:hint="eastAsia" w:ascii="Times New Roman" w:hAnsi="Times New Roman" w:eastAsia="仿宋_GB2312"/>
          <w:sz w:val="32"/>
          <w:szCs w:val="32"/>
        </w:rPr>
      </w:pPr>
      <w:r>
        <w:rPr>
          <w:rFonts w:ascii="Times New Roman" w:hAnsi="Times New Roman" w:eastAsia="仿宋_GB2312"/>
          <w:sz w:val="32"/>
          <w:szCs w:val="32"/>
        </w:rPr>
        <w:t>（6）《中华人民共和国固体废物污染环境防治法》</w:t>
      </w:r>
    </w:p>
    <w:p>
      <w:pPr>
        <w:pStyle w:val="14"/>
        <w:autoSpaceDN w:val="0"/>
        <w:adjustRightInd w:val="0"/>
        <w:snapToGrid w:val="0"/>
        <w:spacing w:line="590" w:lineRule="exact"/>
        <w:ind w:firstLine="640"/>
        <w:rPr>
          <w:rFonts w:hint="eastAsia" w:ascii="Times New Roman" w:hAnsi="Times New Roman" w:eastAsia="仿宋_GB2312"/>
          <w:sz w:val="32"/>
          <w:szCs w:val="32"/>
        </w:rPr>
      </w:pPr>
      <w:r>
        <w:rPr>
          <w:rFonts w:ascii="Times New Roman" w:hAnsi="Times New Roman" w:eastAsia="仿宋_GB2312"/>
          <w:sz w:val="32"/>
          <w:szCs w:val="32"/>
        </w:rPr>
        <w:t>（</w:t>
      </w:r>
      <w:r>
        <w:rPr>
          <w:rFonts w:hint="eastAsia" w:ascii="Times New Roman" w:hAnsi="Times New Roman" w:eastAsia="仿宋_GB2312"/>
          <w:sz w:val="32"/>
          <w:szCs w:val="32"/>
        </w:rPr>
        <w:t>7</w:t>
      </w:r>
      <w:r>
        <w:rPr>
          <w:rFonts w:ascii="Times New Roman" w:hAnsi="Times New Roman" w:eastAsia="仿宋_GB2312"/>
          <w:sz w:val="32"/>
          <w:szCs w:val="32"/>
        </w:rPr>
        <w:t>）《畜禽养殖污染防治管理办法》</w:t>
      </w:r>
    </w:p>
    <w:p>
      <w:pPr>
        <w:pStyle w:val="14"/>
        <w:autoSpaceDN w:val="0"/>
        <w:adjustRightInd w:val="0"/>
        <w:snapToGrid w:val="0"/>
        <w:spacing w:line="590" w:lineRule="exact"/>
        <w:ind w:firstLine="640"/>
        <w:rPr>
          <w:rFonts w:ascii="Times New Roman" w:hAnsi="Times New Roman" w:eastAsia="仿宋_GB2312"/>
          <w:spacing w:val="4"/>
          <w:sz w:val="32"/>
          <w:szCs w:val="32"/>
        </w:rPr>
      </w:pPr>
      <w:r>
        <w:rPr>
          <w:rFonts w:ascii="Times New Roman" w:hAnsi="Times New Roman" w:eastAsia="仿宋_GB2312"/>
          <w:sz w:val="32"/>
          <w:szCs w:val="32"/>
        </w:rPr>
        <w:t>（</w:t>
      </w:r>
      <w:r>
        <w:rPr>
          <w:rFonts w:hint="eastAsia" w:ascii="Times New Roman" w:hAnsi="Times New Roman" w:eastAsia="仿宋_GB2312"/>
          <w:sz w:val="32"/>
          <w:szCs w:val="32"/>
        </w:rPr>
        <w:t>8</w:t>
      </w:r>
      <w:r>
        <w:rPr>
          <w:rFonts w:ascii="Times New Roman" w:hAnsi="Times New Roman" w:eastAsia="仿宋_GB2312"/>
          <w:sz w:val="32"/>
          <w:szCs w:val="32"/>
        </w:rPr>
        <w:t>）</w:t>
      </w:r>
      <w:r>
        <w:rPr>
          <w:rFonts w:ascii="Times New Roman" w:hAnsi="Times New Roman" w:eastAsia="仿宋_GB2312"/>
          <w:spacing w:val="4"/>
          <w:sz w:val="32"/>
          <w:szCs w:val="32"/>
        </w:rPr>
        <w:t>《中共中央国务院关于加快推进生态文明建设的指导</w:t>
      </w:r>
      <w:bookmarkStart w:id="151" w:name="_Toc446527265"/>
      <w:bookmarkStart w:id="152" w:name="_Toc445052281"/>
      <w:bookmarkStart w:id="153" w:name="_Toc460596307"/>
      <w:bookmarkStart w:id="154" w:name="_Toc1592"/>
      <w:bookmarkStart w:id="155" w:name="_Toc4997"/>
      <w:bookmarkStart w:id="156" w:name="_Toc21340"/>
      <w:bookmarkStart w:id="157" w:name="_Toc10917"/>
      <w:r>
        <w:rPr>
          <w:rFonts w:ascii="Times New Roman" w:hAnsi="Times New Roman" w:eastAsia="仿宋_GB2312"/>
          <w:spacing w:val="4"/>
          <w:sz w:val="32"/>
          <w:szCs w:val="32"/>
        </w:rPr>
        <w:t>意见》</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w:t>
      </w:r>
      <w:r>
        <w:rPr>
          <w:rFonts w:hint="eastAsia" w:ascii="Times New Roman" w:hAnsi="Times New Roman" w:eastAsia="仿宋_GB2312"/>
          <w:sz w:val="32"/>
          <w:szCs w:val="32"/>
        </w:rPr>
        <w:t>9</w:t>
      </w:r>
      <w:r>
        <w:rPr>
          <w:rFonts w:ascii="Times New Roman" w:hAnsi="Times New Roman" w:eastAsia="仿宋_GB2312"/>
          <w:sz w:val="32"/>
          <w:szCs w:val="32"/>
        </w:rPr>
        <w:t>）《生态文明体制改革总体方案》</w:t>
      </w:r>
    </w:p>
    <w:p>
      <w:pPr>
        <w:pStyle w:val="14"/>
        <w:autoSpaceDN w:val="0"/>
        <w:adjustRightInd w:val="0"/>
        <w:snapToGrid w:val="0"/>
        <w:spacing w:line="590" w:lineRule="exact"/>
        <w:ind w:firstLine="640"/>
        <w:rPr>
          <w:rFonts w:ascii="Times New Roman" w:hAnsi="Times New Roman" w:eastAsia="仿宋_GB2312"/>
          <w:spacing w:val="4"/>
          <w:sz w:val="32"/>
          <w:szCs w:val="32"/>
        </w:rPr>
      </w:pPr>
      <w:r>
        <w:rPr>
          <w:rFonts w:ascii="Times New Roman" w:hAnsi="Times New Roman" w:eastAsia="仿宋_GB2312"/>
          <w:sz w:val="32"/>
          <w:szCs w:val="32"/>
        </w:rPr>
        <w:t>（</w:t>
      </w:r>
      <w:r>
        <w:rPr>
          <w:rFonts w:hint="eastAsia" w:ascii="Times New Roman" w:hAnsi="Times New Roman" w:eastAsia="仿宋_GB2312"/>
          <w:sz w:val="32"/>
          <w:szCs w:val="32"/>
        </w:rPr>
        <w:t>10</w:t>
      </w:r>
      <w:r>
        <w:rPr>
          <w:rFonts w:ascii="Times New Roman" w:hAnsi="Times New Roman" w:eastAsia="仿宋_GB2312"/>
          <w:sz w:val="32"/>
          <w:szCs w:val="32"/>
        </w:rPr>
        <w:t>）《</w:t>
      </w:r>
      <w:r>
        <w:rPr>
          <w:rFonts w:hint="eastAsia" w:ascii="Times New Roman" w:hAnsi="Times New Roman" w:eastAsia="仿宋_GB2312"/>
          <w:sz w:val="32"/>
          <w:szCs w:val="32"/>
        </w:rPr>
        <w:t>中共中央</w:t>
      </w:r>
      <w:r>
        <w:rPr>
          <w:rFonts w:ascii="Times New Roman" w:hAnsi="Times New Roman" w:eastAsia="仿宋_GB2312"/>
          <w:spacing w:val="4"/>
          <w:sz w:val="32"/>
          <w:szCs w:val="32"/>
        </w:rPr>
        <w:t>关于制定国民经济和社会发展第十三个五年规划的建议》</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1</w:t>
      </w:r>
      <w:r>
        <w:rPr>
          <w:rFonts w:ascii="Times New Roman" w:hAnsi="Times New Roman" w:eastAsia="仿宋_GB2312"/>
          <w:sz w:val="32"/>
          <w:szCs w:val="32"/>
        </w:rPr>
        <w:t>）《水污染防治行动计划》（国发〔2015〕17号）</w:t>
      </w:r>
    </w:p>
    <w:p>
      <w:pPr>
        <w:pStyle w:val="14"/>
        <w:autoSpaceDN w:val="0"/>
        <w:adjustRightInd w:val="0"/>
        <w:snapToGrid w:val="0"/>
        <w:spacing w:line="590" w:lineRule="exact"/>
        <w:ind w:firstLine="640"/>
        <w:rPr>
          <w:rFonts w:hint="eastAsia"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2</w:t>
      </w:r>
      <w:r>
        <w:rPr>
          <w:rFonts w:ascii="Times New Roman" w:hAnsi="Times New Roman" w:eastAsia="仿宋_GB2312"/>
          <w:sz w:val="32"/>
          <w:szCs w:val="32"/>
        </w:rPr>
        <w:t>）</w:t>
      </w:r>
      <w:r>
        <w:rPr>
          <w:rFonts w:hint="eastAsia" w:ascii="Times New Roman" w:hAnsi="Times New Roman" w:eastAsia="仿宋_GB2312"/>
          <w:sz w:val="32"/>
          <w:szCs w:val="32"/>
        </w:rPr>
        <w:t>《</w:t>
      </w:r>
      <w:r>
        <w:rPr>
          <w:rFonts w:ascii="Times New Roman" w:hAnsi="Times New Roman" w:eastAsia="仿宋_GB2312"/>
          <w:sz w:val="32"/>
          <w:szCs w:val="32"/>
        </w:rPr>
        <w:t>国家与河北省人民政府签订的水污染防治目标责任书</w:t>
      </w:r>
      <w:r>
        <w:rPr>
          <w:rFonts w:hint="eastAsia" w:ascii="Times New Roman" w:hAnsi="Times New Roman" w:eastAsia="仿宋_GB2312"/>
          <w:sz w:val="32"/>
          <w:szCs w:val="32"/>
        </w:rPr>
        <w:t>》</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3</w:t>
      </w:r>
      <w:r>
        <w:rPr>
          <w:rFonts w:ascii="Times New Roman" w:hAnsi="Times New Roman" w:eastAsia="仿宋_GB2312"/>
          <w:sz w:val="32"/>
          <w:szCs w:val="32"/>
        </w:rPr>
        <w:t>）《国务院关于加强环境保护重点工作的意见》（国发〔2011〕35号）</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4</w:t>
      </w:r>
      <w:r>
        <w:rPr>
          <w:rFonts w:ascii="Times New Roman" w:hAnsi="Times New Roman" w:eastAsia="仿宋_GB2312"/>
          <w:sz w:val="32"/>
          <w:szCs w:val="32"/>
        </w:rPr>
        <w:t>）《国务院关于印发&lt;“十二五”节能减排综合性工作方案&gt;的通知》（国发〔2011〕26号）</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5</w:t>
      </w:r>
      <w:r>
        <w:rPr>
          <w:rFonts w:ascii="Times New Roman" w:hAnsi="Times New Roman" w:eastAsia="仿宋_GB2312"/>
          <w:sz w:val="32"/>
          <w:szCs w:val="32"/>
        </w:rPr>
        <w:t>）《中共中央国务院关于加快水利改革发展的决定》（中发〔2011〕1号）</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6</w:t>
      </w:r>
      <w:r>
        <w:rPr>
          <w:rFonts w:ascii="Times New Roman" w:hAnsi="Times New Roman" w:eastAsia="仿宋_GB2312"/>
          <w:sz w:val="32"/>
          <w:szCs w:val="32"/>
        </w:rPr>
        <w:t>）《国务院关于实行最严格水资源管理制度的意见》（国发〔2012〕3号）</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7</w:t>
      </w:r>
      <w:r>
        <w:rPr>
          <w:rFonts w:ascii="Times New Roman" w:hAnsi="Times New Roman" w:eastAsia="仿宋_GB2312"/>
          <w:sz w:val="32"/>
          <w:szCs w:val="32"/>
        </w:rPr>
        <w:t>）《国务院关于落实科学发展观加强环境保护的决定》</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（18）《中共中央国务院关于全面加强生态环境保护坚决打好污染防治攻坚战的意见》</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（19）《</w:t>
      </w:r>
      <w:r>
        <w:rPr>
          <w:rFonts w:ascii="Times New Roman" w:hAnsi="Times New Roman" w:eastAsia="仿宋_GB2312"/>
          <w:spacing w:val="2"/>
          <w:sz w:val="32"/>
          <w:szCs w:val="32"/>
        </w:rPr>
        <w:t>生态环境部农业农村部关于印发&lt;农业农村污染治</w:t>
      </w:r>
      <w:r>
        <w:rPr>
          <w:rFonts w:ascii="Times New Roman" w:hAnsi="Times New Roman" w:eastAsia="仿宋_GB2312"/>
          <w:sz w:val="32"/>
          <w:szCs w:val="32"/>
        </w:rPr>
        <w:t>理攻坚战行动计划&gt;的通知》（环土壤〔2018〕143号）</w:t>
      </w:r>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（20）《城市黑臭水体治理攻坚战作战方案》</w:t>
      </w:r>
    </w:p>
    <w:p>
      <w:pPr>
        <w:pStyle w:val="4"/>
        <w:adjustRightInd w:val="0"/>
        <w:snapToGrid w:val="0"/>
        <w:spacing w:line="590" w:lineRule="exact"/>
        <w:ind w:firstLine="643"/>
      </w:pPr>
      <w:bookmarkStart w:id="158" w:name="_Toc23784052"/>
      <w:r>
        <w:t>1.2.2相关规划</w:t>
      </w:r>
      <w:bookmarkEnd w:id="151"/>
      <w:bookmarkEnd w:id="152"/>
      <w:r>
        <w:t>、标准及方案</w:t>
      </w:r>
      <w:bookmarkEnd w:id="153"/>
      <w:bookmarkEnd w:id="154"/>
      <w:bookmarkEnd w:id="155"/>
      <w:bookmarkEnd w:id="156"/>
      <w:bookmarkEnd w:id="157"/>
      <w:bookmarkEnd w:id="158"/>
    </w:p>
    <w:p>
      <w:pPr>
        <w:autoSpaceDN w:val="0"/>
        <w:adjustRightInd w:val="0"/>
        <w:snapToGrid w:val="0"/>
        <w:spacing w:line="590" w:lineRule="exact"/>
        <w:ind w:firstLine="640"/>
        <w:rPr>
          <w:rFonts w:eastAsia="仿宋_GB2312"/>
          <w:sz w:val="32"/>
          <w:szCs w:val="32"/>
        </w:rPr>
      </w:pPr>
      <w:r>
        <w:rPr>
          <w:rFonts w:eastAsia="仿宋_GB2312"/>
          <w:sz w:val="32"/>
          <w:szCs w:val="32"/>
        </w:rPr>
        <w:t>（1）《</w:t>
      </w:r>
      <w:r>
        <w:rPr>
          <w:rFonts w:hint="eastAsia" w:eastAsia="仿宋_GB2312"/>
          <w:sz w:val="32"/>
          <w:szCs w:val="32"/>
        </w:rPr>
        <w:t>河北省人民政府</w:t>
      </w:r>
      <w:r>
        <w:rPr>
          <w:rFonts w:eastAsia="仿宋_GB2312"/>
          <w:sz w:val="32"/>
          <w:szCs w:val="32"/>
        </w:rPr>
        <w:t>关于印发&lt;河北省水污染防治工作方案&gt;的通知》（冀发〔2015〕28号）</w:t>
      </w:r>
    </w:p>
    <w:p>
      <w:pPr>
        <w:autoSpaceDN w:val="0"/>
        <w:adjustRightInd w:val="0"/>
        <w:snapToGrid w:val="0"/>
        <w:spacing w:line="590" w:lineRule="exact"/>
        <w:ind w:firstLine="640"/>
        <w:rPr>
          <w:rFonts w:eastAsia="仿宋_GB2312"/>
          <w:sz w:val="32"/>
          <w:szCs w:val="32"/>
        </w:rPr>
      </w:pPr>
      <w:r>
        <w:rPr>
          <w:rFonts w:eastAsia="仿宋_GB2312"/>
          <w:sz w:val="32"/>
          <w:szCs w:val="32"/>
        </w:rPr>
        <w:t>（2）《河北省农村生活污水排放标准》（DB13/2171</w:t>
      </w:r>
      <w:r>
        <w:rPr>
          <w:rFonts w:hint="eastAsia" w:eastAsia="仿宋_GB2312"/>
          <w:sz w:val="32"/>
          <w:szCs w:val="32"/>
        </w:rPr>
        <w:t>—</w:t>
      </w:r>
      <w:r>
        <w:rPr>
          <w:rFonts w:eastAsia="仿宋_GB2312"/>
          <w:sz w:val="32"/>
          <w:szCs w:val="32"/>
        </w:rPr>
        <w:t>2015）</w:t>
      </w:r>
    </w:p>
    <w:p>
      <w:pPr>
        <w:autoSpaceDN w:val="0"/>
        <w:adjustRightInd w:val="0"/>
        <w:snapToGrid w:val="0"/>
        <w:spacing w:line="590" w:lineRule="exact"/>
        <w:ind w:firstLine="640"/>
        <w:rPr>
          <w:rFonts w:eastAsia="仿宋_GB2312"/>
          <w:sz w:val="32"/>
          <w:szCs w:val="32"/>
        </w:rPr>
      </w:pPr>
      <w:r>
        <w:rPr>
          <w:rFonts w:eastAsia="仿宋_GB2312"/>
          <w:sz w:val="32"/>
          <w:szCs w:val="32"/>
        </w:rPr>
        <w:t>（3）《河北省农村生活污水处理和垃圾处理实用技术指南》</w:t>
      </w:r>
    </w:p>
    <w:p>
      <w:pPr>
        <w:autoSpaceDN w:val="0"/>
        <w:adjustRightInd w:val="0"/>
        <w:snapToGrid w:val="0"/>
        <w:spacing w:line="590" w:lineRule="exact"/>
        <w:ind w:firstLine="640"/>
        <w:rPr>
          <w:rFonts w:eastAsia="仿宋_GB2312"/>
          <w:sz w:val="32"/>
          <w:szCs w:val="32"/>
        </w:rPr>
      </w:pPr>
      <w:r>
        <w:rPr>
          <w:rFonts w:eastAsia="仿宋_GB2312"/>
          <w:sz w:val="32"/>
          <w:szCs w:val="32"/>
        </w:rPr>
        <w:t>（4）《</w:t>
      </w:r>
      <w:r>
        <w:rPr>
          <w:rFonts w:eastAsia="仿宋_GB2312"/>
          <w:spacing w:val="2"/>
          <w:sz w:val="32"/>
          <w:szCs w:val="32"/>
        </w:rPr>
        <w:t>河北省人民政府关于印发&lt;河北省生态环境保护“十</w:t>
      </w:r>
      <w:r>
        <w:rPr>
          <w:rFonts w:eastAsia="仿宋_GB2312"/>
          <w:sz w:val="32"/>
          <w:szCs w:val="32"/>
        </w:rPr>
        <w:t>三五”规划&gt;的通知》（冀政字〔2017〕10号）</w:t>
      </w:r>
    </w:p>
    <w:p>
      <w:pPr>
        <w:autoSpaceDN w:val="0"/>
        <w:adjustRightInd w:val="0"/>
        <w:snapToGrid w:val="0"/>
        <w:spacing w:line="590" w:lineRule="exact"/>
        <w:ind w:firstLine="640"/>
        <w:rPr>
          <w:rFonts w:eastAsia="仿宋_GB2312"/>
          <w:sz w:val="32"/>
          <w:szCs w:val="32"/>
        </w:rPr>
      </w:pPr>
      <w:r>
        <w:rPr>
          <w:rFonts w:eastAsia="仿宋_GB2312"/>
          <w:sz w:val="32"/>
          <w:szCs w:val="32"/>
        </w:rPr>
        <w:t>（5）《</w:t>
      </w:r>
      <w:r>
        <w:rPr>
          <w:rFonts w:eastAsia="仿宋_GB2312"/>
          <w:spacing w:val="2"/>
          <w:sz w:val="32"/>
          <w:szCs w:val="32"/>
        </w:rPr>
        <w:t>河北省委省政府关于全面加强生态环境保护坚决打</w:t>
      </w:r>
      <w:r>
        <w:rPr>
          <w:rFonts w:eastAsia="仿宋_GB2312"/>
          <w:sz w:val="32"/>
          <w:szCs w:val="32"/>
        </w:rPr>
        <w:t>好污染防治攻坚战的实施意见》</w:t>
      </w:r>
    </w:p>
    <w:p>
      <w:pPr>
        <w:autoSpaceDN w:val="0"/>
        <w:adjustRightInd w:val="0"/>
        <w:snapToGrid w:val="0"/>
        <w:spacing w:line="590" w:lineRule="exact"/>
        <w:ind w:firstLine="640"/>
        <w:rPr>
          <w:rFonts w:eastAsia="仿宋_GB2312"/>
          <w:sz w:val="32"/>
          <w:szCs w:val="32"/>
        </w:rPr>
      </w:pPr>
      <w:r>
        <w:rPr>
          <w:rFonts w:eastAsia="仿宋_GB2312"/>
          <w:sz w:val="32"/>
          <w:szCs w:val="32"/>
        </w:rPr>
        <w:t>（6）《河北省水污染防治工作领导小组办公室关于印发&lt;河北省碧水保卫战三年行动计划（2018</w:t>
      </w:r>
      <w:r>
        <w:rPr>
          <w:rFonts w:hint="eastAsia" w:eastAsia="仿宋_GB2312"/>
          <w:sz w:val="32"/>
          <w:szCs w:val="32"/>
        </w:rPr>
        <w:t>—</w:t>
      </w:r>
      <w:r>
        <w:rPr>
          <w:rFonts w:eastAsia="仿宋_GB2312"/>
          <w:sz w:val="32"/>
          <w:szCs w:val="32"/>
        </w:rPr>
        <w:t>2020年）&gt;的通知》（冀水领办〔2018〕123号）</w:t>
      </w:r>
    </w:p>
    <w:p>
      <w:pPr>
        <w:autoSpaceDN w:val="0"/>
        <w:adjustRightInd w:val="0"/>
        <w:snapToGrid w:val="0"/>
        <w:spacing w:line="590" w:lineRule="exact"/>
        <w:ind w:firstLine="640"/>
        <w:rPr>
          <w:rFonts w:eastAsia="仿宋_GB2312"/>
          <w:sz w:val="32"/>
          <w:szCs w:val="32"/>
        </w:rPr>
      </w:pPr>
      <w:r>
        <w:rPr>
          <w:rFonts w:eastAsia="仿宋_GB2312"/>
          <w:sz w:val="32"/>
          <w:szCs w:val="32"/>
        </w:rPr>
        <w:t>（7）《</w:t>
      </w:r>
      <w:r>
        <w:rPr>
          <w:rFonts w:hint="eastAsia" w:eastAsia="仿宋_GB2312"/>
          <w:spacing w:val="2"/>
          <w:sz w:val="32"/>
          <w:szCs w:val="32"/>
        </w:rPr>
        <w:t>河北省环境保护厅</w:t>
      </w:r>
      <w:r>
        <w:rPr>
          <w:rFonts w:eastAsia="仿宋_GB2312"/>
          <w:spacing w:val="2"/>
          <w:sz w:val="32"/>
          <w:szCs w:val="32"/>
        </w:rPr>
        <w:t>关于加快推进全省农村生活污水</w:t>
      </w:r>
      <w:r>
        <w:rPr>
          <w:rFonts w:eastAsia="仿宋_GB2312"/>
          <w:sz w:val="32"/>
          <w:szCs w:val="32"/>
        </w:rPr>
        <w:t>治理工作的通知》（冀环水〔2018〕301号）</w:t>
      </w:r>
    </w:p>
    <w:p>
      <w:pPr>
        <w:autoSpaceDN w:val="0"/>
        <w:adjustRightInd w:val="0"/>
        <w:snapToGrid w:val="0"/>
        <w:spacing w:line="590" w:lineRule="exact"/>
        <w:ind w:firstLine="640"/>
        <w:rPr>
          <w:rFonts w:eastAsia="仿宋_GB2312"/>
          <w:sz w:val="32"/>
          <w:szCs w:val="32"/>
        </w:rPr>
      </w:pPr>
      <w:r>
        <w:rPr>
          <w:rFonts w:eastAsia="仿宋_GB2312"/>
          <w:sz w:val="32"/>
          <w:szCs w:val="32"/>
        </w:rPr>
        <w:t>（8）《河北省农村人居环境整治三年行动实施方案（2018</w:t>
      </w:r>
      <w:r>
        <w:rPr>
          <w:rFonts w:hint="eastAsia" w:eastAsia="仿宋_GB2312"/>
          <w:sz w:val="32"/>
          <w:szCs w:val="32"/>
        </w:rPr>
        <w:t>—</w:t>
      </w:r>
      <w:r>
        <w:rPr>
          <w:rFonts w:eastAsia="仿宋_GB2312"/>
          <w:sz w:val="32"/>
          <w:szCs w:val="32"/>
        </w:rPr>
        <w:t>2020年）》（冀办发〔2018〕3号）</w:t>
      </w:r>
    </w:p>
    <w:p>
      <w:pPr>
        <w:autoSpaceDN w:val="0"/>
        <w:adjustRightInd w:val="0"/>
        <w:snapToGrid w:val="0"/>
        <w:spacing w:line="590" w:lineRule="exact"/>
        <w:ind w:firstLine="640"/>
        <w:rPr>
          <w:rFonts w:eastAsia="仿宋_GB2312"/>
          <w:sz w:val="32"/>
          <w:szCs w:val="32"/>
        </w:rPr>
      </w:pPr>
      <w:r>
        <w:rPr>
          <w:rFonts w:eastAsia="仿宋_GB2312"/>
          <w:sz w:val="32"/>
          <w:szCs w:val="32"/>
        </w:rPr>
        <w:t>（9）《河北省水污染防治工作领导小组办公室关于印发&lt;河北省农村生活污水治理行动计划&gt;的通知》</w:t>
      </w:r>
    </w:p>
    <w:p>
      <w:pPr>
        <w:autoSpaceDN w:val="0"/>
        <w:adjustRightInd w:val="0"/>
        <w:snapToGrid w:val="0"/>
        <w:spacing w:line="590" w:lineRule="exact"/>
        <w:ind w:firstLine="640"/>
        <w:rPr>
          <w:rFonts w:eastAsia="仿宋_GB2312"/>
          <w:sz w:val="32"/>
          <w:szCs w:val="32"/>
        </w:rPr>
      </w:pPr>
      <w:r>
        <w:rPr>
          <w:rFonts w:eastAsia="仿宋_GB2312"/>
          <w:sz w:val="32"/>
          <w:szCs w:val="32"/>
        </w:rPr>
        <w:t>（10）《</w:t>
      </w:r>
      <w:r>
        <w:rPr>
          <w:rFonts w:eastAsia="仿宋_GB2312"/>
          <w:spacing w:val="2"/>
          <w:sz w:val="32"/>
          <w:szCs w:val="32"/>
        </w:rPr>
        <w:t>河北省生态环境厅河北省农业农村厅关于印发&lt;河</w:t>
      </w:r>
      <w:r>
        <w:rPr>
          <w:rFonts w:eastAsia="仿宋_GB2312"/>
          <w:sz w:val="32"/>
          <w:szCs w:val="32"/>
        </w:rPr>
        <w:t>北省农业农村污染治理攻坚战实施方案&gt;的通知》</w:t>
      </w:r>
    </w:p>
    <w:p>
      <w:pPr>
        <w:autoSpaceDN w:val="0"/>
        <w:adjustRightInd w:val="0"/>
        <w:snapToGrid w:val="0"/>
        <w:spacing w:line="590" w:lineRule="exact"/>
        <w:ind w:firstLine="640"/>
        <w:rPr>
          <w:rFonts w:eastAsia="仿宋_GB2312"/>
          <w:sz w:val="32"/>
          <w:szCs w:val="32"/>
        </w:rPr>
      </w:pPr>
      <w:r>
        <w:rPr>
          <w:rFonts w:eastAsia="仿宋_GB2312"/>
          <w:sz w:val="32"/>
          <w:szCs w:val="32"/>
        </w:rPr>
        <w:t>（11）《廊坊市水污染防治工作实施方案》</w:t>
      </w:r>
    </w:p>
    <w:p>
      <w:pPr>
        <w:adjustRightInd w:val="0"/>
        <w:snapToGrid w:val="0"/>
        <w:spacing w:line="590" w:lineRule="exact"/>
        <w:ind w:firstLine="640"/>
        <w:rPr>
          <w:rFonts w:eastAsia="仿宋_GB2312"/>
          <w:sz w:val="32"/>
          <w:szCs w:val="32"/>
        </w:rPr>
      </w:pPr>
      <w:r>
        <w:rPr>
          <w:rFonts w:eastAsia="仿宋_GB2312"/>
          <w:sz w:val="32"/>
          <w:szCs w:val="32"/>
        </w:rPr>
        <w:t>（12）</w:t>
      </w:r>
      <w:r>
        <w:rPr>
          <w:rFonts w:hint="eastAsia" w:eastAsia="仿宋_GB2312"/>
          <w:sz w:val="32"/>
          <w:szCs w:val="32"/>
        </w:rPr>
        <w:t>《</w:t>
      </w:r>
      <w:r>
        <w:rPr>
          <w:rFonts w:hint="eastAsia" w:eastAsia="仿宋_GB2312"/>
          <w:spacing w:val="2"/>
          <w:sz w:val="32"/>
          <w:szCs w:val="32"/>
        </w:rPr>
        <w:t>廊坊市人民政府办公室</w:t>
      </w:r>
      <w:r>
        <w:rPr>
          <w:rFonts w:eastAsia="仿宋_GB2312"/>
          <w:spacing w:val="2"/>
          <w:sz w:val="32"/>
          <w:szCs w:val="32"/>
        </w:rPr>
        <w:t>关于印发&lt;廊坊市重点河流</w:t>
      </w:r>
      <w:r>
        <w:rPr>
          <w:rFonts w:eastAsia="仿宋_GB2312"/>
          <w:sz w:val="32"/>
          <w:szCs w:val="32"/>
        </w:rPr>
        <w:t>水质达标方案&gt;的通知》（廊政办〔2016〕76号）</w:t>
      </w:r>
    </w:p>
    <w:p>
      <w:pPr>
        <w:pStyle w:val="3"/>
        <w:spacing w:line="590" w:lineRule="exact"/>
        <w:ind w:left="643" w:firstLine="0" w:firstLineChars="0"/>
        <w:rPr>
          <w:rFonts w:eastAsia="楷体_GB2312"/>
        </w:rPr>
      </w:pPr>
      <w:bookmarkStart w:id="159" w:name="_Toc23784053"/>
      <w:r>
        <w:rPr>
          <w:rFonts w:eastAsia="楷体_GB2312"/>
        </w:rPr>
        <w:t>1.3指导思想</w:t>
      </w:r>
      <w:bookmarkEnd w:id="159"/>
    </w:p>
    <w:p>
      <w:pPr>
        <w:pStyle w:val="14"/>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以习近平新时代中国特色社会主义思想为指导，全面贯彻党的十九大和十九届二中、三中全会精神，深入贯彻习近平生态文明思想，坚决落实党中央、国务院决策部署和省委省政府关于污染防治攻坚战相关要求，以</w:t>
      </w:r>
      <w:r>
        <w:rPr>
          <w:rFonts w:ascii="Times New Roman" w:hAnsi="Times New Roman" w:eastAsia="仿宋"/>
          <w:sz w:val="32"/>
          <w:szCs w:val="32"/>
        </w:rPr>
        <w:t>潮白河</w:t>
      </w:r>
      <w:r>
        <w:rPr>
          <w:rFonts w:ascii="Times New Roman" w:hAnsi="Times New Roman" w:eastAsia="仿宋_GB2312"/>
          <w:sz w:val="32"/>
          <w:szCs w:val="32"/>
        </w:rPr>
        <w:t>水生态环境质量改善为核心，统筹山水林田湖草系统治理，坚持污染防治与生态保护并重，推进水污染治理、水生态修复、水资源保护“三水共治”，强化污染源精细化管控，创新体制机制建设，落实党政各方责任，着力解决突出水生态环境问题，确保</w:t>
      </w:r>
      <w:r>
        <w:rPr>
          <w:rFonts w:ascii="Times New Roman" w:hAnsi="Times New Roman" w:eastAsia="仿宋"/>
          <w:sz w:val="32"/>
          <w:szCs w:val="32"/>
        </w:rPr>
        <w:t>潮白</w:t>
      </w:r>
      <w:r>
        <w:rPr>
          <w:rFonts w:ascii="Times New Roman" w:hAnsi="Times New Roman" w:eastAsia="仿宋_GB2312"/>
          <w:sz w:val="32"/>
          <w:szCs w:val="32"/>
        </w:rPr>
        <w:t>河水生态环境质量持续改善，为京津冀协同发展提供有力的水生态环境支撑。</w:t>
      </w:r>
    </w:p>
    <w:p>
      <w:pPr>
        <w:pStyle w:val="3"/>
        <w:spacing w:line="590" w:lineRule="exact"/>
        <w:ind w:left="643" w:firstLine="0" w:firstLineChars="0"/>
        <w:rPr>
          <w:rFonts w:eastAsia="楷体_GB2312"/>
        </w:rPr>
      </w:pPr>
      <w:bookmarkStart w:id="160" w:name="_Toc445052283"/>
      <w:bookmarkStart w:id="161" w:name="_Toc446527268"/>
      <w:bookmarkStart w:id="162" w:name="_Toc460596310"/>
      <w:bookmarkStart w:id="163" w:name="_Toc30117"/>
      <w:bookmarkStart w:id="164" w:name="_Toc7706"/>
      <w:bookmarkStart w:id="165" w:name="_Toc1127"/>
      <w:bookmarkStart w:id="166" w:name="_Toc4633"/>
      <w:bookmarkStart w:id="167" w:name="_Toc23784054"/>
      <w:r>
        <w:rPr>
          <w:rFonts w:eastAsia="楷体_GB2312"/>
        </w:rPr>
        <w:t>1.4工作范围和时限</w:t>
      </w:r>
      <w:bookmarkEnd w:id="160"/>
      <w:bookmarkEnd w:id="161"/>
      <w:bookmarkEnd w:id="162"/>
      <w:bookmarkEnd w:id="163"/>
      <w:bookmarkEnd w:id="164"/>
      <w:bookmarkEnd w:id="165"/>
      <w:bookmarkEnd w:id="166"/>
      <w:bookmarkEnd w:id="167"/>
    </w:p>
    <w:p>
      <w:pPr>
        <w:pStyle w:val="14"/>
        <w:autoSpaceDN w:val="0"/>
        <w:adjustRightInd w:val="0"/>
        <w:snapToGrid w:val="0"/>
        <w:spacing w:line="590" w:lineRule="exact"/>
        <w:ind w:firstLine="640"/>
        <w:rPr>
          <w:rFonts w:hint="eastAsia" w:eastAsia="仿宋_GB2312"/>
          <w:sz w:val="32"/>
          <w:szCs w:val="32"/>
        </w:rPr>
      </w:pPr>
      <w:r>
        <w:rPr>
          <w:rFonts w:eastAsia="仿宋_GB2312"/>
          <w:sz w:val="32"/>
          <w:szCs w:val="32"/>
        </w:rPr>
        <w:t>本方案工作范围主要包括廊坊市境内潮白河流域（以下简称潮白河流域），行政区域涉及廊坊市的3个县（市），分别是三河市、大厂回族自治县和香河县。具体见表1。</w:t>
      </w:r>
    </w:p>
    <w:p>
      <w:pPr>
        <w:spacing w:before="163" w:beforeLines="50" w:after="163" w:afterLines="50" w:line="590" w:lineRule="exact"/>
        <w:ind w:firstLine="0" w:firstLineChars="0"/>
        <w:jc w:val="center"/>
        <w:rPr>
          <w:rFonts w:eastAsia="黑体"/>
          <w:sz w:val="32"/>
          <w:szCs w:val="32"/>
        </w:rPr>
      </w:pPr>
      <w:r>
        <w:rPr>
          <w:rFonts w:hAnsi="黑体" w:eastAsia="黑体"/>
          <w:sz w:val="32"/>
          <w:szCs w:val="32"/>
        </w:rPr>
        <w:t>表</w:t>
      </w:r>
      <w:r>
        <w:rPr>
          <w:rFonts w:eastAsia="黑体"/>
          <w:sz w:val="32"/>
          <w:szCs w:val="32"/>
        </w:rPr>
        <w:t>1</w:t>
      </w:r>
      <w:r>
        <w:rPr>
          <w:rFonts w:hint="eastAsia" w:eastAsia="黑体"/>
          <w:sz w:val="32"/>
          <w:szCs w:val="32"/>
        </w:rPr>
        <w:t>-</w:t>
      </w:r>
      <w:r>
        <w:rPr>
          <w:rFonts w:eastAsia="黑体"/>
          <w:sz w:val="32"/>
          <w:szCs w:val="32"/>
        </w:rPr>
        <w:t xml:space="preserve">1 </w:t>
      </w:r>
      <w:r>
        <w:rPr>
          <w:rFonts w:hAnsi="黑体" w:eastAsia="黑体"/>
          <w:sz w:val="32"/>
          <w:szCs w:val="32"/>
        </w:rPr>
        <w:t>潮白河流域工作范围</w:t>
      </w:r>
    </w:p>
    <w:tbl>
      <w:tblPr>
        <w:tblStyle w:val="13"/>
        <w:tblW w:w="8766" w:type="dxa"/>
        <w:tblInd w:w="122" w:type="dxa"/>
        <w:tblLayout w:type="fixed"/>
        <w:tblCellMar>
          <w:top w:w="0" w:type="dxa"/>
          <w:left w:w="108" w:type="dxa"/>
          <w:bottom w:w="0" w:type="dxa"/>
          <w:right w:w="108" w:type="dxa"/>
        </w:tblCellMar>
      </w:tblPr>
      <w:tblGrid>
        <w:gridCol w:w="1838"/>
        <w:gridCol w:w="6928"/>
      </w:tblGrid>
      <w:tr>
        <w:tblPrEx>
          <w:tblLayout w:type="fixed"/>
          <w:tblCellMar>
            <w:top w:w="0" w:type="dxa"/>
            <w:left w:w="108" w:type="dxa"/>
            <w:bottom w:w="0" w:type="dxa"/>
            <w:right w:w="108" w:type="dxa"/>
          </w:tblCellMar>
        </w:tblPrEx>
        <w:trPr>
          <w:trHeight w:val="669" w:hRule="exact"/>
        </w:trPr>
        <w:tc>
          <w:tcPr>
            <w:tcW w:w="183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县（市）</w:t>
            </w:r>
          </w:p>
        </w:tc>
        <w:tc>
          <w:tcPr>
            <w:tcW w:w="6928"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流经区域</w:t>
            </w:r>
          </w:p>
        </w:tc>
      </w:tr>
      <w:tr>
        <w:tblPrEx>
          <w:tblLayout w:type="fixed"/>
          <w:tblCellMar>
            <w:top w:w="0" w:type="dxa"/>
            <w:left w:w="108" w:type="dxa"/>
            <w:bottom w:w="0" w:type="dxa"/>
            <w:right w:w="108" w:type="dxa"/>
          </w:tblCellMar>
        </w:tblPrEx>
        <w:trPr>
          <w:trHeight w:val="759" w:hRule="atLeast"/>
        </w:trPr>
        <w:tc>
          <w:tcPr>
            <w:tcW w:w="18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三河市</w:t>
            </w:r>
          </w:p>
        </w:tc>
        <w:tc>
          <w:tcPr>
            <w:tcW w:w="6928"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olor w:val="000000"/>
                <w:kern w:val="0"/>
                <w:sz w:val="21"/>
                <w:szCs w:val="21"/>
              </w:rPr>
            </w:pPr>
            <w:r>
              <w:rPr>
                <w:rFonts w:eastAsia="仿宋_GB2312"/>
                <w:color w:val="000000"/>
                <w:kern w:val="0"/>
                <w:sz w:val="21"/>
                <w:szCs w:val="21"/>
              </w:rPr>
              <w:t>高楼镇、燕郊国家高新技术产业开发区、燕郊镇</w:t>
            </w:r>
          </w:p>
        </w:tc>
      </w:tr>
      <w:tr>
        <w:tblPrEx>
          <w:tblLayout w:type="fixed"/>
          <w:tblCellMar>
            <w:top w:w="0" w:type="dxa"/>
            <w:left w:w="108" w:type="dxa"/>
            <w:bottom w:w="0" w:type="dxa"/>
            <w:right w:w="108" w:type="dxa"/>
          </w:tblCellMar>
        </w:tblPrEx>
        <w:trPr>
          <w:trHeight w:val="725" w:hRule="atLeast"/>
        </w:trPr>
        <w:tc>
          <w:tcPr>
            <w:tcW w:w="18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大厂回族自治县</w:t>
            </w:r>
          </w:p>
        </w:tc>
        <w:tc>
          <w:tcPr>
            <w:tcW w:w="6928"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olor w:val="000000"/>
                <w:kern w:val="0"/>
                <w:sz w:val="21"/>
                <w:szCs w:val="21"/>
              </w:rPr>
            </w:pPr>
            <w:r>
              <w:rPr>
                <w:rFonts w:eastAsia="仿宋_GB2312"/>
                <w:color w:val="000000"/>
                <w:kern w:val="0"/>
                <w:sz w:val="21"/>
                <w:szCs w:val="21"/>
              </w:rPr>
              <w:t>潮白新区</w:t>
            </w:r>
          </w:p>
        </w:tc>
      </w:tr>
      <w:tr>
        <w:tblPrEx>
          <w:tblLayout w:type="fixed"/>
          <w:tblCellMar>
            <w:top w:w="0" w:type="dxa"/>
            <w:left w:w="108" w:type="dxa"/>
            <w:bottom w:w="0" w:type="dxa"/>
            <w:right w:w="108" w:type="dxa"/>
          </w:tblCellMar>
        </w:tblPrEx>
        <w:trPr>
          <w:trHeight w:val="1136" w:hRule="atLeast"/>
        </w:trPr>
        <w:tc>
          <w:tcPr>
            <w:tcW w:w="183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香河县</w:t>
            </w:r>
          </w:p>
        </w:tc>
        <w:tc>
          <w:tcPr>
            <w:tcW w:w="6928" w:type="dxa"/>
            <w:tcBorders>
              <w:top w:val="nil"/>
              <w:left w:val="nil"/>
              <w:bottom w:val="single" w:color="auto" w:sz="4" w:space="0"/>
              <w:right w:val="single" w:color="auto" w:sz="4" w:space="0"/>
            </w:tcBorders>
            <w:vAlign w:val="center"/>
          </w:tcPr>
          <w:p>
            <w:pPr>
              <w:widowControl/>
              <w:spacing w:line="240" w:lineRule="auto"/>
              <w:ind w:firstLine="0" w:firstLineChars="0"/>
              <w:rPr>
                <w:rFonts w:eastAsia="仿宋_GB2312"/>
                <w:color w:val="000000"/>
                <w:kern w:val="0"/>
                <w:sz w:val="21"/>
                <w:szCs w:val="21"/>
              </w:rPr>
            </w:pPr>
            <w:r>
              <w:rPr>
                <w:rFonts w:eastAsia="仿宋_GB2312"/>
                <w:color w:val="000000"/>
                <w:kern w:val="0"/>
                <w:sz w:val="21"/>
                <w:szCs w:val="21"/>
              </w:rPr>
              <w:t>蒋辛屯镇、淑阳镇、新兴产业示范区、钱旺镇、环保产业园区、渠口镇、安头屯镇</w:t>
            </w:r>
          </w:p>
        </w:tc>
      </w:tr>
    </w:tbl>
    <w:p>
      <w:pPr>
        <w:spacing w:after="97" w:afterLines="30" w:line="590" w:lineRule="exact"/>
        <w:ind w:firstLine="640"/>
        <w:rPr>
          <w:rFonts w:eastAsia="仿宋_GB2312"/>
          <w:sz w:val="32"/>
          <w:szCs w:val="32"/>
        </w:rPr>
      </w:pPr>
      <w:r>
        <w:rPr>
          <w:rFonts w:eastAsia="仿宋_GB2312"/>
          <w:sz w:val="32"/>
          <w:szCs w:val="32"/>
        </w:rPr>
        <w:t>潮白河在三县（市）境内流程总长61.3公里，涉及吴村和大套桥2个国控考核断面。流域范围约为150.25平方公里，其中三河市流域面积80.89平方公里，大厂、香河县流域面积约67.36平方公里。</w:t>
      </w:r>
    </w:p>
    <w:p>
      <w:pPr>
        <w:pStyle w:val="14"/>
        <w:autoSpaceDN w:val="0"/>
        <w:adjustRightInd w:val="0"/>
        <w:snapToGrid w:val="0"/>
        <w:spacing w:line="240" w:lineRule="auto"/>
        <w:ind w:firstLine="0" w:firstLineChars="0"/>
        <w:rPr>
          <w:rFonts w:hint="eastAsia" w:eastAsia="仿宋_GB2312"/>
        </w:rPr>
      </w:pPr>
      <w:r>
        <w:rPr>
          <w:rFonts w:eastAsia="仿宋_GB2312"/>
        </w:rPr>
        <w:drawing>
          <wp:inline distT="0" distB="0" distL="114300" distR="114300">
            <wp:extent cx="5605145" cy="5322570"/>
            <wp:effectExtent l="0" t="0" r="14605" b="11430"/>
            <wp:docPr id="11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79"/>
                    <pic:cNvPicPr>
                      <a:picLocks noChangeAspect="1"/>
                    </pic:cNvPicPr>
                  </pic:nvPicPr>
                  <pic:blipFill>
                    <a:blip r:embed="rId39"/>
                    <a:stretch>
                      <a:fillRect/>
                    </a:stretch>
                  </pic:blipFill>
                  <pic:spPr>
                    <a:xfrm>
                      <a:off x="0" y="0"/>
                      <a:ext cx="5605145" cy="5322570"/>
                    </a:xfrm>
                    <a:prstGeom prst="rect">
                      <a:avLst/>
                    </a:prstGeom>
                    <a:noFill/>
                    <a:ln w="9525">
                      <a:noFill/>
                    </a:ln>
                  </pic:spPr>
                </pic:pic>
              </a:graphicData>
            </a:graphic>
          </wp:inline>
        </w:drawing>
      </w:r>
    </w:p>
    <w:p>
      <w:pPr>
        <w:spacing w:after="97" w:afterLines="30" w:line="240" w:lineRule="auto"/>
        <w:ind w:firstLine="0" w:firstLineChars="0"/>
        <w:jc w:val="center"/>
        <w:rPr>
          <w:rFonts w:eastAsia="仿宋_GB2312"/>
          <w:b/>
          <w:szCs w:val="32"/>
        </w:rPr>
      </w:pPr>
      <w:r>
        <w:rPr>
          <w:rFonts w:eastAsia="仿宋_GB2312"/>
          <w:b/>
          <w:szCs w:val="32"/>
        </w:rPr>
        <w:t>图</w:t>
      </w:r>
      <w:r>
        <w:rPr>
          <w:rFonts w:eastAsia="仿宋" w:cs="Times New Roman"/>
          <w:b/>
          <w:szCs w:val="32"/>
        </w:rPr>
        <w:t>1-1</w:t>
      </w:r>
      <w:r>
        <w:rPr>
          <w:rFonts w:eastAsia="仿宋_GB2312"/>
          <w:b/>
          <w:szCs w:val="32"/>
        </w:rPr>
        <w:t>　廊坊市潮白河流域范围示意图</w:t>
      </w:r>
    </w:p>
    <w:p>
      <w:pPr>
        <w:spacing w:line="580" w:lineRule="exact"/>
        <w:ind w:firstLine="640"/>
        <w:rPr>
          <w:rFonts w:eastAsia="仿宋_GB2312"/>
          <w:sz w:val="32"/>
          <w:szCs w:val="32"/>
        </w:rPr>
      </w:pPr>
      <w:r>
        <w:rPr>
          <w:rFonts w:eastAsia="仿宋_GB2312"/>
          <w:sz w:val="32"/>
          <w:szCs w:val="32"/>
        </w:rPr>
        <w:t>本方案的基准年为2018年，本方案实施年限为2019</w:t>
      </w:r>
      <w:r>
        <w:rPr>
          <w:rFonts w:hint="eastAsia" w:eastAsia="仿宋_GB2312"/>
          <w:sz w:val="32"/>
          <w:szCs w:val="32"/>
        </w:rPr>
        <w:t>—</w:t>
      </w:r>
      <w:r>
        <w:rPr>
          <w:rFonts w:eastAsia="仿宋_GB2312"/>
          <w:sz w:val="32"/>
          <w:szCs w:val="32"/>
        </w:rPr>
        <w:t>2020年。</w:t>
      </w:r>
      <w:bookmarkStart w:id="168" w:name="_Toc454500755"/>
      <w:bookmarkEnd w:id="168"/>
      <w:bookmarkStart w:id="169" w:name="_Toc454500495"/>
      <w:bookmarkEnd w:id="169"/>
      <w:bookmarkStart w:id="170" w:name="_Toc454500624"/>
      <w:bookmarkEnd w:id="170"/>
      <w:bookmarkStart w:id="171" w:name="_Toc454500753"/>
      <w:bookmarkEnd w:id="171"/>
      <w:bookmarkStart w:id="172" w:name="_Toc454500623"/>
      <w:bookmarkEnd w:id="172"/>
      <w:bookmarkStart w:id="173" w:name="_Toc454500496"/>
      <w:bookmarkEnd w:id="173"/>
      <w:bookmarkStart w:id="174" w:name="_Toc454500754"/>
      <w:bookmarkEnd w:id="174"/>
      <w:bookmarkStart w:id="175" w:name="_Toc454500497"/>
      <w:bookmarkEnd w:id="175"/>
      <w:bookmarkStart w:id="176" w:name="_Toc454500625"/>
      <w:bookmarkEnd w:id="176"/>
      <w:bookmarkStart w:id="177" w:name="_Toc460596354"/>
      <w:bookmarkStart w:id="178" w:name="_Toc16791"/>
      <w:bookmarkStart w:id="179" w:name="_Toc23784055"/>
      <w:bookmarkStart w:id="180" w:name="_Toc10064"/>
      <w:bookmarkStart w:id="181" w:name="_Toc10550"/>
      <w:bookmarkStart w:id="182" w:name="_Toc1065"/>
    </w:p>
    <w:p>
      <w:pPr>
        <w:spacing w:line="580" w:lineRule="exact"/>
        <w:ind w:firstLine="643"/>
        <w:rPr>
          <w:rFonts w:eastAsia="楷体_GB2312"/>
          <w:b/>
          <w:sz w:val="32"/>
          <w:szCs w:val="32"/>
        </w:rPr>
      </w:pPr>
      <w:r>
        <w:rPr>
          <w:rFonts w:eastAsia="楷体_GB2312"/>
          <w:b/>
          <w:sz w:val="32"/>
          <w:szCs w:val="32"/>
        </w:rPr>
        <w:t>1.5治理目标</w:t>
      </w:r>
      <w:bookmarkEnd w:id="177"/>
      <w:bookmarkEnd w:id="178"/>
      <w:bookmarkEnd w:id="179"/>
      <w:bookmarkEnd w:id="180"/>
      <w:bookmarkEnd w:id="181"/>
      <w:bookmarkEnd w:id="182"/>
    </w:p>
    <w:p>
      <w:pPr>
        <w:spacing w:line="580" w:lineRule="exact"/>
        <w:ind w:firstLine="640"/>
        <w:rPr>
          <w:rFonts w:eastAsia="仿宋_GB2312"/>
          <w:sz w:val="32"/>
          <w:szCs w:val="32"/>
        </w:rPr>
      </w:pPr>
      <w:r>
        <w:rPr>
          <w:rFonts w:eastAsia="仿宋_GB2312"/>
          <w:sz w:val="32"/>
          <w:szCs w:val="32"/>
        </w:rPr>
        <w:t>根据京津冀一体化建设要求和河北省、廊坊市等各级落实《水十条》的方案有关要求，综合考虑水质现状和目标可达性等因素，确定本方案治理目标：</w:t>
      </w:r>
    </w:p>
    <w:p>
      <w:pPr>
        <w:spacing w:line="580" w:lineRule="exact"/>
        <w:ind w:firstLine="640"/>
        <w:rPr>
          <w:rFonts w:eastAsia="仿宋_GB2312"/>
          <w:sz w:val="32"/>
          <w:szCs w:val="32"/>
        </w:rPr>
      </w:pPr>
      <w:r>
        <w:rPr>
          <w:rFonts w:eastAsia="仿宋_GB2312"/>
          <w:sz w:val="32"/>
          <w:szCs w:val="32"/>
        </w:rPr>
        <w:t>（1）到2019年，在上游来水（含运潮减河、北运河）水质稳定达到地表水V类（或以上）的情况下，潮白河吴村、大套桥断面水质达到地表水V类标准；在上游来水（含运潮减河、北运河）水质未能稳定达到地表水V类情况下，保障出境断面（大套桥断面）水质不低于入境断面（吴村断面）水质。</w:t>
      </w:r>
    </w:p>
    <w:p>
      <w:pPr>
        <w:spacing w:line="580" w:lineRule="exact"/>
        <w:ind w:firstLine="640"/>
        <w:rPr>
          <w:rFonts w:eastAsia="仿宋_GB2312"/>
          <w:sz w:val="32"/>
          <w:szCs w:val="32"/>
        </w:rPr>
      </w:pPr>
      <w:r>
        <w:rPr>
          <w:rFonts w:eastAsia="仿宋_GB2312"/>
          <w:sz w:val="32"/>
          <w:szCs w:val="32"/>
        </w:rPr>
        <w:t>（2）到2020年，在上游来水（含运潮减河、北运河）水质稳定达到地表水V类（或以上）的情况下，潮白河吴村、大套桥断面水质保持或优于地表水V类标准；在上游来水（含运潮减河、北运河）水质未能稳定达到地表水V类情况下，保障出境断面（大套桥断面）水质不低于入境断面（吴村断面）水质。</w:t>
      </w:r>
    </w:p>
    <w:p>
      <w:pPr>
        <w:spacing w:line="240" w:lineRule="auto"/>
        <w:ind w:firstLine="0" w:firstLineChars="0"/>
        <w:jc w:val="center"/>
        <w:rPr>
          <w:rFonts w:eastAsia="黑体"/>
          <w:sz w:val="32"/>
          <w:szCs w:val="32"/>
        </w:rPr>
      </w:pPr>
      <w:r>
        <w:rPr>
          <w:rFonts w:hAnsi="黑体" w:eastAsia="黑体"/>
          <w:sz w:val="32"/>
          <w:szCs w:val="32"/>
        </w:rPr>
        <w:t>表</w:t>
      </w:r>
      <w:r>
        <w:rPr>
          <w:rFonts w:eastAsia="黑体"/>
          <w:sz w:val="32"/>
          <w:szCs w:val="32"/>
        </w:rPr>
        <w:t>1</w:t>
      </w:r>
      <w:r>
        <w:rPr>
          <w:rFonts w:hint="eastAsia" w:eastAsia="黑体"/>
          <w:sz w:val="32"/>
          <w:szCs w:val="32"/>
        </w:rPr>
        <w:t>-</w:t>
      </w:r>
      <w:r>
        <w:rPr>
          <w:rFonts w:eastAsia="黑体"/>
          <w:sz w:val="32"/>
          <w:szCs w:val="32"/>
        </w:rPr>
        <w:t xml:space="preserve">2 </w:t>
      </w:r>
      <w:r>
        <w:rPr>
          <w:rFonts w:hAnsi="黑体" w:eastAsia="黑体"/>
          <w:sz w:val="32"/>
          <w:szCs w:val="32"/>
        </w:rPr>
        <w:t>国控断面水质目标表</w:t>
      </w:r>
    </w:p>
    <w:tbl>
      <w:tblPr>
        <w:tblStyle w:val="13"/>
        <w:tblW w:w="891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94"/>
        <w:gridCol w:w="791"/>
        <w:gridCol w:w="866"/>
        <w:gridCol w:w="636"/>
        <w:gridCol w:w="783"/>
        <w:gridCol w:w="959"/>
        <w:gridCol w:w="930"/>
        <w:gridCol w:w="873"/>
        <w:gridCol w:w="1127"/>
        <w:gridCol w:w="862"/>
        <w:gridCol w:w="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59" w:hRule="atLeast"/>
          <w:tblHeader/>
        </w:trPr>
        <w:tc>
          <w:tcPr>
            <w:tcW w:w="494" w:type="dxa"/>
            <w:vMerge w:val="restart"/>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序号</w:t>
            </w:r>
          </w:p>
        </w:tc>
        <w:tc>
          <w:tcPr>
            <w:tcW w:w="791" w:type="dxa"/>
            <w:vMerge w:val="restart"/>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所在县</w:t>
            </w:r>
          </w:p>
        </w:tc>
        <w:tc>
          <w:tcPr>
            <w:tcW w:w="866" w:type="dxa"/>
            <w:vMerge w:val="restart"/>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考核县</w:t>
            </w:r>
          </w:p>
        </w:tc>
        <w:tc>
          <w:tcPr>
            <w:tcW w:w="636" w:type="dxa"/>
            <w:vMerge w:val="restart"/>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所属流域</w:t>
            </w:r>
          </w:p>
        </w:tc>
        <w:tc>
          <w:tcPr>
            <w:tcW w:w="783" w:type="dxa"/>
            <w:vMerge w:val="restart"/>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所属水系</w:t>
            </w:r>
          </w:p>
        </w:tc>
        <w:tc>
          <w:tcPr>
            <w:tcW w:w="959" w:type="dxa"/>
            <w:vMerge w:val="restart"/>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所在水体名称</w:t>
            </w:r>
          </w:p>
        </w:tc>
        <w:tc>
          <w:tcPr>
            <w:tcW w:w="930" w:type="dxa"/>
            <w:vMerge w:val="restart"/>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断面</w:t>
            </w:r>
          </w:p>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名称</w:t>
            </w:r>
          </w:p>
        </w:tc>
        <w:tc>
          <w:tcPr>
            <w:tcW w:w="873" w:type="dxa"/>
            <w:vMerge w:val="restart"/>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水质</w:t>
            </w:r>
          </w:p>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现状</w:t>
            </w:r>
          </w:p>
        </w:tc>
        <w:tc>
          <w:tcPr>
            <w:tcW w:w="1989" w:type="dxa"/>
            <w:gridSpan w:val="2"/>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水质考核目标</w:t>
            </w:r>
          </w:p>
        </w:tc>
        <w:tc>
          <w:tcPr>
            <w:tcW w:w="593" w:type="dxa"/>
            <w:vMerge w:val="restart"/>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考核属性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59" w:hRule="atLeast"/>
          <w:tblHeader/>
        </w:trPr>
        <w:tc>
          <w:tcPr>
            <w:tcW w:w="494" w:type="dxa"/>
            <w:vMerge w:val="continue"/>
            <w:vAlign w:val="center"/>
          </w:tcPr>
          <w:p>
            <w:pPr>
              <w:widowControl/>
              <w:spacing w:line="240" w:lineRule="auto"/>
              <w:ind w:firstLine="0" w:firstLineChars="0"/>
              <w:jc w:val="center"/>
              <w:rPr>
                <w:rFonts w:eastAsia="仿宋_GB2312"/>
                <w:b/>
                <w:bCs/>
                <w:color w:val="000000"/>
                <w:kern w:val="0"/>
                <w:sz w:val="21"/>
                <w:szCs w:val="21"/>
              </w:rPr>
            </w:pPr>
          </w:p>
        </w:tc>
        <w:tc>
          <w:tcPr>
            <w:tcW w:w="791" w:type="dxa"/>
            <w:vMerge w:val="continue"/>
            <w:vAlign w:val="center"/>
          </w:tcPr>
          <w:p>
            <w:pPr>
              <w:widowControl/>
              <w:spacing w:line="240" w:lineRule="auto"/>
              <w:ind w:firstLine="0" w:firstLineChars="0"/>
              <w:jc w:val="center"/>
              <w:rPr>
                <w:rFonts w:eastAsia="仿宋_GB2312"/>
                <w:b/>
                <w:bCs/>
                <w:color w:val="000000"/>
                <w:kern w:val="0"/>
                <w:sz w:val="21"/>
                <w:szCs w:val="21"/>
              </w:rPr>
            </w:pPr>
          </w:p>
        </w:tc>
        <w:tc>
          <w:tcPr>
            <w:tcW w:w="866" w:type="dxa"/>
            <w:vMerge w:val="continue"/>
            <w:vAlign w:val="center"/>
          </w:tcPr>
          <w:p>
            <w:pPr>
              <w:widowControl/>
              <w:spacing w:line="240" w:lineRule="auto"/>
              <w:ind w:firstLine="0" w:firstLineChars="0"/>
              <w:jc w:val="center"/>
              <w:rPr>
                <w:rFonts w:eastAsia="仿宋_GB2312"/>
                <w:b/>
                <w:bCs/>
                <w:color w:val="000000"/>
                <w:kern w:val="0"/>
                <w:sz w:val="21"/>
                <w:szCs w:val="21"/>
              </w:rPr>
            </w:pPr>
          </w:p>
        </w:tc>
        <w:tc>
          <w:tcPr>
            <w:tcW w:w="636" w:type="dxa"/>
            <w:vMerge w:val="continue"/>
            <w:vAlign w:val="center"/>
          </w:tcPr>
          <w:p>
            <w:pPr>
              <w:widowControl/>
              <w:spacing w:line="240" w:lineRule="auto"/>
              <w:ind w:firstLine="0" w:firstLineChars="0"/>
              <w:jc w:val="center"/>
              <w:rPr>
                <w:rFonts w:eastAsia="仿宋_GB2312"/>
                <w:b/>
                <w:bCs/>
                <w:color w:val="000000"/>
                <w:kern w:val="0"/>
                <w:sz w:val="21"/>
                <w:szCs w:val="21"/>
              </w:rPr>
            </w:pPr>
          </w:p>
        </w:tc>
        <w:tc>
          <w:tcPr>
            <w:tcW w:w="783" w:type="dxa"/>
            <w:vMerge w:val="continue"/>
            <w:vAlign w:val="center"/>
          </w:tcPr>
          <w:p>
            <w:pPr>
              <w:widowControl/>
              <w:spacing w:line="240" w:lineRule="auto"/>
              <w:ind w:firstLine="0" w:firstLineChars="0"/>
              <w:jc w:val="center"/>
              <w:rPr>
                <w:rFonts w:eastAsia="仿宋_GB2312"/>
                <w:b/>
                <w:bCs/>
                <w:color w:val="000000"/>
                <w:kern w:val="0"/>
                <w:sz w:val="21"/>
                <w:szCs w:val="21"/>
              </w:rPr>
            </w:pPr>
          </w:p>
        </w:tc>
        <w:tc>
          <w:tcPr>
            <w:tcW w:w="959" w:type="dxa"/>
            <w:vMerge w:val="continue"/>
            <w:vAlign w:val="center"/>
          </w:tcPr>
          <w:p>
            <w:pPr>
              <w:widowControl/>
              <w:spacing w:line="240" w:lineRule="auto"/>
              <w:ind w:firstLine="0" w:firstLineChars="0"/>
              <w:jc w:val="center"/>
              <w:rPr>
                <w:rFonts w:eastAsia="仿宋_GB2312"/>
                <w:b/>
                <w:bCs/>
                <w:color w:val="000000"/>
                <w:kern w:val="0"/>
                <w:sz w:val="21"/>
                <w:szCs w:val="21"/>
              </w:rPr>
            </w:pPr>
          </w:p>
        </w:tc>
        <w:tc>
          <w:tcPr>
            <w:tcW w:w="930" w:type="dxa"/>
            <w:vMerge w:val="continue"/>
            <w:vAlign w:val="center"/>
          </w:tcPr>
          <w:p>
            <w:pPr>
              <w:widowControl/>
              <w:spacing w:line="240" w:lineRule="auto"/>
              <w:ind w:firstLine="0" w:firstLineChars="0"/>
              <w:jc w:val="center"/>
              <w:rPr>
                <w:rFonts w:eastAsia="仿宋_GB2312"/>
                <w:b/>
                <w:bCs/>
                <w:color w:val="000000"/>
                <w:kern w:val="0"/>
                <w:sz w:val="21"/>
                <w:szCs w:val="21"/>
              </w:rPr>
            </w:pPr>
          </w:p>
        </w:tc>
        <w:tc>
          <w:tcPr>
            <w:tcW w:w="873" w:type="dxa"/>
            <w:vMerge w:val="continue"/>
            <w:vAlign w:val="center"/>
          </w:tcPr>
          <w:p>
            <w:pPr>
              <w:widowControl/>
              <w:spacing w:line="240" w:lineRule="auto"/>
              <w:ind w:firstLine="0" w:firstLineChars="0"/>
              <w:jc w:val="center"/>
              <w:rPr>
                <w:rFonts w:eastAsia="仿宋_GB2312"/>
                <w:b/>
                <w:bCs/>
                <w:color w:val="000000"/>
                <w:kern w:val="0"/>
                <w:sz w:val="21"/>
                <w:szCs w:val="21"/>
              </w:rPr>
            </w:pPr>
          </w:p>
        </w:tc>
        <w:tc>
          <w:tcPr>
            <w:tcW w:w="1127" w:type="dxa"/>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2019年</w:t>
            </w:r>
          </w:p>
        </w:tc>
        <w:tc>
          <w:tcPr>
            <w:tcW w:w="862" w:type="dxa"/>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2020年</w:t>
            </w:r>
          </w:p>
        </w:tc>
        <w:tc>
          <w:tcPr>
            <w:tcW w:w="593" w:type="dxa"/>
            <w:vMerge w:val="continue"/>
            <w:vAlign w:val="center"/>
          </w:tcPr>
          <w:p>
            <w:pPr>
              <w:widowControl/>
              <w:spacing w:line="240" w:lineRule="auto"/>
              <w:ind w:firstLine="0" w:firstLineChars="0"/>
              <w:jc w:val="center"/>
              <w:rPr>
                <w:rFonts w:eastAsia="仿宋_GB2312"/>
                <w:b/>
                <w:bCs/>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101" w:hRule="atLeast"/>
        </w:trPr>
        <w:tc>
          <w:tcPr>
            <w:tcW w:w="494" w:type="dxa"/>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1</w:t>
            </w:r>
          </w:p>
        </w:tc>
        <w:tc>
          <w:tcPr>
            <w:tcW w:w="791"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香河县</w:t>
            </w:r>
          </w:p>
        </w:tc>
        <w:tc>
          <w:tcPr>
            <w:tcW w:w="866"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三河市、大厂县、香河县</w:t>
            </w:r>
          </w:p>
        </w:tc>
        <w:tc>
          <w:tcPr>
            <w:tcW w:w="636"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海河</w:t>
            </w:r>
          </w:p>
        </w:tc>
        <w:tc>
          <w:tcPr>
            <w:tcW w:w="783"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北三河</w:t>
            </w:r>
          </w:p>
        </w:tc>
        <w:tc>
          <w:tcPr>
            <w:tcW w:w="959"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潮白河</w:t>
            </w:r>
          </w:p>
        </w:tc>
        <w:tc>
          <w:tcPr>
            <w:tcW w:w="930" w:type="dxa"/>
            <w:vAlign w:val="center"/>
          </w:tcPr>
          <w:p>
            <w:pPr>
              <w:widowControl/>
              <w:spacing w:line="240" w:lineRule="auto"/>
              <w:ind w:firstLine="0" w:firstLineChars="0"/>
              <w:jc w:val="center"/>
              <w:rPr>
                <w:rFonts w:eastAsia="仿宋_GB2312"/>
                <w:sz w:val="21"/>
                <w:szCs w:val="21"/>
              </w:rPr>
            </w:pPr>
            <w:r>
              <w:rPr>
                <w:rFonts w:eastAsia="仿宋_GB2312"/>
                <w:bCs/>
                <w:color w:val="000000"/>
                <w:kern w:val="0"/>
                <w:sz w:val="21"/>
                <w:szCs w:val="21"/>
              </w:rPr>
              <w:t>吴村</w:t>
            </w:r>
          </w:p>
        </w:tc>
        <w:tc>
          <w:tcPr>
            <w:tcW w:w="873"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劣V</w:t>
            </w:r>
          </w:p>
        </w:tc>
        <w:tc>
          <w:tcPr>
            <w:tcW w:w="1127"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V</w:t>
            </w:r>
          </w:p>
        </w:tc>
        <w:tc>
          <w:tcPr>
            <w:tcW w:w="862"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 xml:space="preserve">V </w:t>
            </w:r>
          </w:p>
        </w:tc>
        <w:tc>
          <w:tcPr>
            <w:tcW w:w="593"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国考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140" w:hRule="atLeast"/>
        </w:trPr>
        <w:tc>
          <w:tcPr>
            <w:tcW w:w="494" w:type="dxa"/>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2</w:t>
            </w:r>
          </w:p>
        </w:tc>
        <w:tc>
          <w:tcPr>
            <w:tcW w:w="791"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香河县</w:t>
            </w:r>
          </w:p>
        </w:tc>
        <w:tc>
          <w:tcPr>
            <w:tcW w:w="866"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香河县</w:t>
            </w:r>
          </w:p>
        </w:tc>
        <w:tc>
          <w:tcPr>
            <w:tcW w:w="636"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海河</w:t>
            </w:r>
          </w:p>
        </w:tc>
        <w:tc>
          <w:tcPr>
            <w:tcW w:w="783"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北三河</w:t>
            </w:r>
          </w:p>
        </w:tc>
        <w:tc>
          <w:tcPr>
            <w:tcW w:w="959"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潮白河</w:t>
            </w:r>
          </w:p>
        </w:tc>
        <w:tc>
          <w:tcPr>
            <w:tcW w:w="930"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大套桥</w:t>
            </w:r>
          </w:p>
        </w:tc>
        <w:tc>
          <w:tcPr>
            <w:tcW w:w="873"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劣V</w:t>
            </w:r>
          </w:p>
        </w:tc>
        <w:tc>
          <w:tcPr>
            <w:tcW w:w="1127"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V</w:t>
            </w:r>
          </w:p>
        </w:tc>
        <w:tc>
          <w:tcPr>
            <w:tcW w:w="862"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V</w:t>
            </w:r>
          </w:p>
        </w:tc>
        <w:tc>
          <w:tcPr>
            <w:tcW w:w="593" w:type="dxa"/>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国考</w:t>
            </w:r>
          </w:p>
        </w:tc>
      </w:tr>
    </w:tbl>
    <w:p>
      <w:pPr>
        <w:pStyle w:val="3"/>
        <w:ind w:left="643" w:firstLine="0" w:firstLineChars="0"/>
        <w:rPr>
          <w:rFonts w:eastAsia="楷体_GB2312"/>
        </w:rPr>
      </w:pPr>
      <w:bookmarkStart w:id="183" w:name="_Toc460596355"/>
      <w:bookmarkStart w:id="184" w:name="_Toc23784056"/>
      <w:bookmarkStart w:id="185" w:name="_Toc30380"/>
      <w:bookmarkStart w:id="186" w:name="_Toc31544"/>
      <w:bookmarkStart w:id="187" w:name="_Toc20002"/>
      <w:bookmarkStart w:id="188" w:name="_Toc32234"/>
      <w:bookmarkStart w:id="189" w:name="_Toc4808"/>
      <w:bookmarkStart w:id="190" w:name="_Toc23109"/>
      <w:bookmarkStart w:id="191" w:name="_Toc6286"/>
      <w:bookmarkStart w:id="192" w:name="_Toc460596311"/>
      <w:bookmarkStart w:id="193" w:name="_Toc28473"/>
      <w:r>
        <w:rPr>
          <w:rFonts w:eastAsia="楷体_GB2312"/>
        </w:rPr>
        <w:t>1.6总体思路</w:t>
      </w:r>
      <w:bookmarkEnd w:id="183"/>
      <w:bookmarkEnd w:id="184"/>
      <w:bookmarkEnd w:id="185"/>
      <w:bookmarkEnd w:id="186"/>
      <w:bookmarkEnd w:id="187"/>
      <w:bookmarkEnd w:id="188"/>
    </w:p>
    <w:p>
      <w:pPr>
        <w:spacing w:line="584" w:lineRule="exact"/>
        <w:ind w:firstLine="640"/>
        <w:rPr>
          <w:rFonts w:eastAsia="仿宋_GB2312"/>
          <w:sz w:val="32"/>
          <w:szCs w:val="32"/>
        </w:rPr>
      </w:pPr>
      <w:r>
        <w:rPr>
          <w:rFonts w:eastAsia="仿宋_GB2312"/>
          <w:sz w:val="32"/>
          <w:szCs w:val="32"/>
        </w:rPr>
        <w:t>根据潮白河流域地形、地貌、水系格局及水生态环境状况和环境问题，本方案遵循“治、用、疏、保、管”相结合的思路开展潮白河治理并设计重点任务。</w:t>
      </w:r>
    </w:p>
    <w:p>
      <w:pPr>
        <w:spacing w:line="590" w:lineRule="exact"/>
        <w:ind w:firstLine="640"/>
        <w:rPr>
          <w:rFonts w:eastAsia="仿宋_GB2312"/>
          <w:sz w:val="32"/>
          <w:szCs w:val="32"/>
        </w:rPr>
      </w:pPr>
      <w:r>
        <w:rPr>
          <w:rFonts w:eastAsia="仿宋_GB2312"/>
          <w:sz w:val="32"/>
          <w:szCs w:val="32"/>
        </w:rPr>
        <w:t>“治”——强化污染源头治理，以控源截污为前提，实现工业、城镇污水全部收集和集中处理，三河污水处理达到京B排放标准，逐步开展农村和农业污染源治理。</w:t>
      </w:r>
    </w:p>
    <w:p>
      <w:pPr>
        <w:spacing w:line="590" w:lineRule="exact"/>
        <w:ind w:firstLine="640"/>
        <w:rPr>
          <w:rFonts w:eastAsia="仿宋_GB2312"/>
          <w:sz w:val="32"/>
          <w:szCs w:val="32"/>
        </w:rPr>
      </w:pPr>
      <w:r>
        <w:rPr>
          <w:rFonts w:eastAsia="仿宋_GB2312"/>
          <w:sz w:val="32"/>
          <w:szCs w:val="32"/>
        </w:rPr>
        <w:t>“用”——加强水资源的循环利用，努力减少废水排放。现有污水处理厂处理达标后的尾水通过企业中水回用、生态景观用水等方式加强循环利用。</w:t>
      </w:r>
    </w:p>
    <w:p>
      <w:pPr>
        <w:spacing w:line="590" w:lineRule="exact"/>
        <w:ind w:firstLine="640"/>
        <w:rPr>
          <w:rFonts w:eastAsia="仿宋_GB2312"/>
          <w:sz w:val="32"/>
          <w:szCs w:val="32"/>
        </w:rPr>
      </w:pPr>
      <w:r>
        <w:rPr>
          <w:rFonts w:eastAsia="仿宋_GB2312"/>
          <w:sz w:val="32"/>
          <w:szCs w:val="32"/>
        </w:rPr>
        <w:t>“疏”——对主要排干渠进行清淤疏浚，保持排干渠的形态和景观，消除水体环境问题。</w:t>
      </w:r>
    </w:p>
    <w:p>
      <w:pPr>
        <w:spacing w:line="590" w:lineRule="exact"/>
        <w:ind w:firstLine="640"/>
        <w:rPr>
          <w:rFonts w:eastAsia="仿宋_GB2312"/>
          <w:sz w:val="32"/>
          <w:szCs w:val="32"/>
        </w:rPr>
      </w:pPr>
      <w:r>
        <w:rPr>
          <w:rFonts w:eastAsia="仿宋_GB2312"/>
          <w:sz w:val="32"/>
          <w:szCs w:val="32"/>
        </w:rPr>
        <w:t>“保”——在潮白河干流及支流（排干渠）构建多样性水生生态系统，努力提升流域环境承载力，恢复河流自然生态净化功能，重现潮白河湿地系统生态链条，恢复生物多样性。</w:t>
      </w:r>
    </w:p>
    <w:p>
      <w:pPr>
        <w:spacing w:line="590" w:lineRule="exact"/>
        <w:ind w:firstLine="640"/>
        <w:rPr>
          <w:rFonts w:eastAsia="仿宋_GB2312"/>
          <w:sz w:val="32"/>
          <w:szCs w:val="32"/>
        </w:rPr>
      </w:pPr>
      <w:r>
        <w:rPr>
          <w:rFonts w:eastAsia="仿宋_GB2312"/>
          <w:sz w:val="32"/>
          <w:szCs w:val="32"/>
        </w:rPr>
        <w:t>“管”——强化对潮白河水环境管理。对潮白河流域内主要工业源和污水处理厂加强监管和执法，有效保障环保设施稳定运行。</w:t>
      </w:r>
    </w:p>
    <w:p>
      <w:pPr>
        <w:pStyle w:val="2"/>
        <w:spacing w:line="590" w:lineRule="exact"/>
        <w:ind w:left="640" w:firstLine="0" w:firstLineChars="0"/>
      </w:pPr>
      <w:bookmarkStart w:id="194" w:name="_Toc23784057"/>
      <w:r>
        <w:t>二、流域概况</w:t>
      </w:r>
      <w:bookmarkEnd w:id="189"/>
      <w:bookmarkEnd w:id="190"/>
      <w:bookmarkEnd w:id="191"/>
      <w:bookmarkEnd w:id="192"/>
      <w:bookmarkEnd w:id="193"/>
      <w:bookmarkEnd w:id="194"/>
      <w:bookmarkStart w:id="195" w:name="_Toc445052286"/>
      <w:bookmarkStart w:id="196" w:name="_Toc446527271"/>
      <w:bookmarkStart w:id="197" w:name="_Toc18279"/>
      <w:bookmarkStart w:id="198" w:name="_Toc460596312"/>
      <w:bookmarkStart w:id="199" w:name="_Toc28051"/>
      <w:bookmarkStart w:id="200" w:name="_Toc30088"/>
      <w:bookmarkStart w:id="201" w:name="_Toc18240"/>
    </w:p>
    <w:p>
      <w:pPr>
        <w:pStyle w:val="3"/>
        <w:spacing w:line="590" w:lineRule="exact"/>
        <w:ind w:left="643" w:firstLine="0" w:firstLineChars="0"/>
        <w:rPr>
          <w:rFonts w:eastAsia="楷体_GB2312"/>
        </w:rPr>
      </w:pPr>
      <w:bookmarkStart w:id="202" w:name="_Toc23784058"/>
      <w:r>
        <w:rPr>
          <w:rFonts w:eastAsia="楷体_GB2312"/>
        </w:rPr>
        <w:t>2.1地理位置</w:t>
      </w:r>
      <w:bookmarkEnd w:id="195"/>
      <w:bookmarkEnd w:id="196"/>
      <w:bookmarkEnd w:id="197"/>
      <w:bookmarkEnd w:id="198"/>
      <w:bookmarkEnd w:id="199"/>
      <w:bookmarkEnd w:id="200"/>
      <w:bookmarkEnd w:id="201"/>
      <w:bookmarkEnd w:id="202"/>
      <w:bookmarkStart w:id="203" w:name="_Toc460596313"/>
      <w:bookmarkStart w:id="204" w:name="_Toc19639"/>
      <w:bookmarkStart w:id="205" w:name="_Toc12722"/>
      <w:bookmarkStart w:id="206" w:name="_Toc24829"/>
      <w:bookmarkStart w:id="207" w:name="_Toc13068"/>
    </w:p>
    <w:p>
      <w:pPr>
        <w:pStyle w:val="4"/>
        <w:spacing w:line="590" w:lineRule="exact"/>
        <w:ind w:firstLine="643"/>
      </w:pPr>
      <w:bookmarkStart w:id="208" w:name="_Toc23784059"/>
      <w:r>
        <w:t>2.1.1三河市</w:t>
      </w:r>
      <w:bookmarkEnd w:id="203"/>
      <w:bookmarkEnd w:id="204"/>
      <w:bookmarkEnd w:id="205"/>
      <w:bookmarkEnd w:id="206"/>
      <w:bookmarkEnd w:id="207"/>
      <w:bookmarkEnd w:id="208"/>
    </w:p>
    <w:p>
      <w:pPr>
        <w:spacing w:line="590" w:lineRule="exact"/>
        <w:ind w:firstLine="616"/>
        <w:rPr>
          <w:rFonts w:eastAsia="仿宋_GB2312"/>
          <w:spacing w:val="-6"/>
          <w:sz w:val="32"/>
          <w:szCs w:val="32"/>
        </w:rPr>
      </w:pPr>
      <w:r>
        <w:rPr>
          <w:rFonts w:eastAsia="仿宋_GB2312"/>
          <w:spacing w:val="-6"/>
          <w:sz w:val="32"/>
          <w:szCs w:val="32"/>
        </w:rPr>
        <w:t>三河市地处京、津交界地带，与北京仅一河之隔，是我国占地面积最大、行政级别最高的县级飞地。总面积643平方千米。下辖10个镇、4个园区、4个街道办。其中潮白河流域主要位于燕郊地区，涉及高楼镇、燕郊国家高新技术产业开发区、燕郊镇等。</w:t>
      </w:r>
    </w:p>
    <w:p>
      <w:pPr>
        <w:spacing w:line="590" w:lineRule="exact"/>
        <w:ind w:firstLine="640"/>
        <w:rPr>
          <w:rFonts w:eastAsia="仿宋_GB2312"/>
          <w:sz w:val="32"/>
          <w:szCs w:val="32"/>
        </w:rPr>
      </w:pPr>
      <w:r>
        <w:rPr>
          <w:rFonts w:eastAsia="仿宋_GB2312"/>
          <w:sz w:val="32"/>
          <w:szCs w:val="32"/>
        </w:rPr>
        <w:t>燕郊地区作为三河市中心之一，是三河市对接北京的西面门户，其区位条件得天独厚，位于环京津、环渤海经济圈核心，与北京仅一河（潮白河）之隔，距北京市中心天安门35公里，距空港首都机场22公里，距海港天津港120公里。同时，燕郊东北方向10km处</w:t>
      </w:r>
      <w:r>
        <w:rPr>
          <w:rFonts w:hint="eastAsia" w:eastAsia="仿宋_GB2312"/>
          <w:sz w:val="32"/>
          <w:szCs w:val="32"/>
        </w:rPr>
        <w:t>正在建设</w:t>
      </w:r>
      <w:r>
        <w:rPr>
          <w:rFonts w:eastAsia="仿宋_GB2312"/>
          <w:sz w:val="32"/>
          <w:szCs w:val="32"/>
        </w:rPr>
        <w:t>三河公务机场。</w:t>
      </w:r>
    </w:p>
    <w:p>
      <w:pPr>
        <w:spacing w:line="240" w:lineRule="auto"/>
        <w:ind w:firstLineChars="83"/>
        <w:jc w:val="center"/>
        <w:rPr>
          <w:rFonts w:eastAsia="仿宋_GB2312"/>
          <w:b/>
          <w:szCs w:val="32"/>
        </w:rPr>
      </w:pPr>
      <w:r>
        <w:rPr>
          <w:rFonts w:eastAsia="仿宋_GB2312"/>
          <w:b/>
          <w:szCs w:val="32"/>
        </w:rPr>
        <w:drawing>
          <wp:inline distT="0" distB="0" distL="114300" distR="114300">
            <wp:extent cx="2411730" cy="2052320"/>
            <wp:effectExtent l="0" t="0" r="7620" b="5080"/>
            <wp:docPr id="114" name="图片 80"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80" descr="捕获"/>
                    <pic:cNvPicPr>
                      <a:picLocks noChangeAspect="1"/>
                    </pic:cNvPicPr>
                  </pic:nvPicPr>
                  <pic:blipFill>
                    <a:blip r:embed="rId40"/>
                    <a:stretch>
                      <a:fillRect/>
                    </a:stretch>
                  </pic:blipFill>
                  <pic:spPr>
                    <a:xfrm>
                      <a:off x="0" y="0"/>
                      <a:ext cx="2411730" cy="2052320"/>
                    </a:xfrm>
                    <a:prstGeom prst="rect">
                      <a:avLst/>
                    </a:prstGeom>
                    <a:noFill/>
                    <a:ln w="9525">
                      <a:noFill/>
                    </a:ln>
                  </pic:spPr>
                </pic:pic>
              </a:graphicData>
            </a:graphic>
          </wp:inline>
        </w:drawing>
      </w:r>
      <w:r>
        <w:rPr>
          <w:rFonts w:eastAsia="仿宋_GB2312"/>
          <w:b/>
          <w:szCs w:val="32"/>
        </w:rPr>
        <w:drawing>
          <wp:inline distT="0" distB="0" distL="114300" distR="114300">
            <wp:extent cx="2807970" cy="2070735"/>
            <wp:effectExtent l="0" t="0" r="11430" b="5715"/>
            <wp:docPr id="115" name="图片 81"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81" descr="捕获"/>
                    <pic:cNvPicPr>
                      <a:picLocks noChangeAspect="1"/>
                    </pic:cNvPicPr>
                  </pic:nvPicPr>
                  <pic:blipFill>
                    <a:blip r:embed="rId41"/>
                    <a:stretch>
                      <a:fillRect/>
                    </a:stretch>
                  </pic:blipFill>
                  <pic:spPr>
                    <a:xfrm>
                      <a:off x="0" y="0"/>
                      <a:ext cx="2807970" cy="2070735"/>
                    </a:xfrm>
                    <a:prstGeom prst="rect">
                      <a:avLst/>
                    </a:prstGeom>
                    <a:noFill/>
                    <a:ln w="9525">
                      <a:noFill/>
                    </a:ln>
                  </pic:spPr>
                </pic:pic>
              </a:graphicData>
            </a:graphic>
          </wp:inline>
        </w:drawing>
      </w:r>
    </w:p>
    <w:p>
      <w:pPr>
        <w:spacing w:before="97" w:beforeLines="30" w:line="240" w:lineRule="auto"/>
        <w:ind w:firstLine="0" w:firstLineChars="0"/>
        <w:jc w:val="center"/>
        <w:rPr>
          <w:rFonts w:eastAsia="仿宋_GB2312"/>
          <w:sz w:val="32"/>
          <w:szCs w:val="32"/>
        </w:rPr>
      </w:pPr>
      <w:r>
        <w:rPr>
          <w:rFonts w:eastAsia="仿宋_GB2312"/>
          <w:b/>
          <w:szCs w:val="32"/>
        </w:rPr>
        <w:t>图2</w:t>
      </w:r>
      <w:r>
        <w:rPr>
          <w:rFonts w:hint="eastAsia" w:eastAsia="仿宋_GB2312" w:cs="Times New Roman"/>
          <w:b/>
        </w:rPr>
        <w:t>-</w:t>
      </w:r>
      <w:r>
        <w:rPr>
          <w:rFonts w:eastAsia="仿宋_GB2312"/>
          <w:b/>
          <w:szCs w:val="32"/>
        </w:rPr>
        <w:t>1　三河市地理位置</w:t>
      </w:r>
    </w:p>
    <w:p>
      <w:pPr>
        <w:pStyle w:val="4"/>
        <w:spacing w:line="570" w:lineRule="exact"/>
        <w:ind w:firstLine="643"/>
      </w:pPr>
      <w:bookmarkStart w:id="209" w:name="_Toc460596314"/>
      <w:bookmarkStart w:id="210" w:name="_Toc3682"/>
      <w:bookmarkStart w:id="211" w:name="_Toc20963"/>
      <w:bookmarkStart w:id="212" w:name="_Toc9229"/>
      <w:bookmarkStart w:id="213" w:name="_Toc23784060"/>
      <w:bookmarkStart w:id="214" w:name="_Toc23844"/>
      <w:r>
        <w:t>2.1.2大厂县</w:t>
      </w:r>
      <w:bookmarkEnd w:id="209"/>
      <w:bookmarkEnd w:id="210"/>
      <w:bookmarkEnd w:id="211"/>
      <w:bookmarkEnd w:id="212"/>
      <w:bookmarkEnd w:id="213"/>
      <w:bookmarkEnd w:id="214"/>
    </w:p>
    <w:p>
      <w:pPr>
        <w:spacing w:line="570" w:lineRule="exact"/>
        <w:ind w:firstLine="640"/>
        <w:rPr>
          <w:rFonts w:eastAsia="仿宋_GB2312"/>
          <w:sz w:val="32"/>
          <w:szCs w:val="32"/>
        </w:rPr>
      </w:pPr>
      <w:r>
        <w:rPr>
          <w:rFonts w:eastAsia="仿宋_GB2312"/>
          <w:sz w:val="32"/>
          <w:szCs w:val="32"/>
        </w:rPr>
        <w:t>大厂回族自治县位于河北省中北部，京津间河北飞地内，总面积176.29平方公里，人口123628人（2012年），其中回族2.6万人，占总人口的21%。下辖5个镇，4个社区、101个行政村。县政府驻</w:t>
      </w:r>
      <w:r>
        <w:rPr>
          <w:rFonts w:eastAsia="仿宋_GB2312"/>
          <w:sz w:val="32"/>
          <w:szCs w:val="32"/>
        </w:rPr>
        <w:fldChar w:fldCharType="begin"/>
      </w:r>
      <w:r>
        <w:rPr>
          <w:rFonts w:eastAsia="仿宋_GB2312"/>
          <w:sz w:val="32"/>
          <w:szCs w:val="32"/>
        </w:rPr>
        <w:instrText xml:space="preserve">HYPERLINK "http://baike.so.com/doc/6589847-6803624.html" \t "_blank"</w:instrText>
      </w:r>
      <w:r>
        <w:rPr>
          <w:rFonts w:eastAsia="仿宋_GB2312"/>
          <w:sz w:val="32"/>
          <w:szCs w:val="32"/>
        </w:rPr>
        <w:fldChar w:fldCharType="separate"/>
      </w:r>
      <w:r>
        <w:rPr>
          <w:rFonts w:eastAsia="仿宋_GB2312"/>
          <w:sz w:val="32"/>
          <w:szCs w:val="32"/>
        </w:rPr>
        <w:t>大厂镇</w:t>
      </w:r>
      <w:r>
        <w:rPr>
          <w:rFonts w:eastAsia="仿宋_GB2312"/>
          <w:sz w:val="32"/>
          <w:szCs w:val="32"/>
        </w:rPr>
        <w:fldChar w:fldCharType="end"/>
      </w:r>
      <w:r>
        <w:rPr>
          <w:rFonts w:eastAsia="仿宋_GB2312"/>
          <w:sz w:val="32"/>
          <w:szCs w:val="32"/>
        </w:rPr>
        <w:t>。</w:t>
      </w:r>
    </w:p>
    <w:p>
      <w:pPr>
        <w:spacing w:line="570" w:lineRule="exact"/>
        <w:ind w:firstLine="672"/>
        <w:rPr>
          <w:rFonts w:hint="eastAsia" w:eastAsia="仿宋_GB2312"/>
          <w:spacing w:val="-4"/>
          <w:sz w:val="32"/>
          <w:szCs w:val="32"/>
        </w:rPr>
      </w:pPr>
      <w:r>
        <w:rPr>
          <w:rFonts w:eastAsia="仿宋_GB2312"/>
          <w:spacing w:val="8"/>
          <w:sz w:val="32"/>
          <w:szCs w:val="32"/>
        </w:rPr>
        <w:t>大厂县位于</w:t>
      </w:r>
      <w:r>
        <w:rPr>
          <w:rFonts w:eastAsia="仿宋_GB2312"/>
          <w:spacing w:val="8"/>
          <w:sz w:val="32"/>
          <w:szCs w:val="32"/>
        </w:rPr>
        <w:fldChar w:fldCharType="begin"/>
      </w:r>
      <w:r>
        <w:rPr>
          <w:rFonts w:eastAsia="仿宋_GB2312"/>
          <w:spacing w:val="8"/>
          <w:sz w:val="32"/>
          <w:szCs w:val="32"/>
        </w:rPr>
        <w:instrText xml:space="preserve">HYPERLINK "http://baike.so.com/doc/5364199-5599791.html" \t "_blank"</w:instrText>
      </w:r>
      <w:r>
        <w:rPr>
          <w:rFonts w:eastAsia="仿宋_GB2312"/>
          <w:spacing w:val="8"/>
          <w:sz w:val="32"/>
          <w:szCs w:val="32"/>
        </w:rPr>
        <w:fldChar w:fldCharType="separate"/>
      </w:r>
      <w:r>
        <w:rPr>
          <w:rFonts w:eastAsia="仿宋_GB2312"/>
          <w:spacing w:val="8"/>
          <w:sz w:val="32"/>
          <w:szCs w:val="32"/>
        </w:rPr>
        <w:t>潮白河</w:t>
      </w:r>
      <w:r>
        <w:rPr>
          <w:rFonts w:eastAsia="仿宋_GB2312"/>
          <w:spacing w:val="8"/>
          <w:sz w:val="32"/>
          <w:szCs w:val="32"/>
        </w:rPr>
        <w:fldChar w:fldCharType="end"/>
      </w:r>
      <w:r>
        <w:rPr>
          <w:rFonts w:eastAsia="仿宋_GB2312"/>
          <w:spacing w:val="8"/>
          <w:sz w:val="32"/>
          <w:szCs w:val="32"/>
        </w:rPr>
        <w:t>上游，</w:t>
      </w:r>
      <w:r>
        <w:rPr>
          <w:rFonts w:eastAsia="仿宋_GB2312"/>
          <w:spacing w:val="8"/>
          <w:sz w:val="32"/>
          <w:szCs w:val="32"/>
        </w:rPr>
        <w:fldChar w:fldCharType="begin"/>
      </w:r>
      <w:r>
        <w:rPr>
          <w:rFonts w:eastAsia="仿宋_GB2312"/>
          <w:spacing w:val="8"/>
          <w:sz w:val="32"/>
          <w:szCs w:val="32"/>
        </w:rPr>
        <w:instrText xml:space="preserve">HYPERLINK "http://baike.so.com/doc/1540564-1628628.html" \t "_blank"</w:instrText>
      </w:r>
      <w:r>
        <w:rPr>
          <w:rFonts w:eastAsia="仿宋_GB2312"/>
          <w:spacing w:val="8"/>
          <w:sz w:val="32"/>
          <w:szCs w:val="32"/>
        </w:rPr>
        <w:fldChar w:fldCharType="separate"/>
      </w:r>
      <w:r>
        <w:rPr>
          <w:rFonts w:eastAsia="仿宋_GB2312"/>
          <w:spacing w:val="8"/>
          <w:sz w:val="32"/>
          <w:szCs w:val="32"/>
        </w:rPr>
        <w:t>鲍丘河</w:t>
      </w:r>
      <w:r>
        <w:rPr>
          <w:rFonts w:eastAsia="仿宋_GB2312"/>
          <w:spacing w:val="8"/>
          <w:sz w:val="32"/>
          <w:szCs w:val="32"/>
        </w:rPr>
        <w:fldChar w:fldCharType="end"/>
      </w:r>
      <w:r>
        <w:rPr>
          <w:rFonts w:eastAsia="仿宋_GB2312"/>
          <w:spacing w:val="8"/>
          <w:sz w:val="32"/>
          <w:szCs w:val="32"/>
        </w:rPr>
        <w:t>自西向东流贯全县。大厂回族自治县位于东经116°48'20″</w:t>
      </w:r>
      <w:r>
        <w:rPr>
          <w:rFonts w:hint="eastAsia" w:eastAsia="仿宋_GB2312"/>
          <w:spacing w:val="8"/>
          <w:sz w:val="32"/>
          <w:szCs w:val="32"/>
        </w:rPr>
        <w:t>—</w:t>
      </w:r>
      <w:r>
        <w:rPr>
          <w:rFonts w:eastAsia="仿宋_GB2312"/>
          <w:spacing w:val="8"/>
          <w:sz w:val="32"/>
          <w:szCs w:val="32"/>
        </w:rPr>
        <w:t>117°03'55″；北纬39°49'17″</w:t>
      </w:r>
      <w:r>
        <w:rPr>
          <w:rFonts w:hint="eastAsia" w:eastAsia="仿宋_GB2312"/>
          <w:spacing w:val="8"/>
          <w:sz w:val="32"/>
          <w:szCs w:val="32"/>
        </w:rPr>
        <w:t>—</w:t>
      </w:r>
      <w:r>
        <w:rPr>
          <w:rFonts w:eastAsia="仿宋_GB2312"/>
          <w:spacing w:val="8"/>
          <w:sz w:val="32"/>
          <w:szCs w:val="32"/>
        </w:rPr>
        <w:t>39°58'56″，地处</w:t>
      </w:r>
      <w:r>
        <w:rPr>
          <w:rFonts w:eastAsia="仿宋_GB2312"/>
          <w:spacing w:val="8"/>
          <w:sz w:val="32"/>
          <w:szCs w:val="32"/>
        </w:rPr>
        <w:fldChar w:fldCharType="begin"/>
      </w:r>
      <w:r>
        <w:rPr>
          <w:rFonts w:eastAsia="仿宋_GB2312"/>
          <w:spacing w:val="8"/>
          <w:sz w:val="32"/>
          <w:szCs w:val="32"/>
        </w:rPr>
        <w:instrText xml:space="preserve">HYPERLINK "http://baike.so.com/doc/2977038-3140225.html" \t "_blank"</w:instrText>
      </w:r>
      <w:r>
        <w:rPr>
          <w:rFonts w:eastAsia="仿宋_GB2312"/>
          <w:spacing w:val="8"/>
          <w:sz w:val="32"/>
          <w:szCs w:val="32"/>
        </w:rPr>
        <w:fldChar w:fldCharType="separate"/>
      </w:r>
      <w:r>
        <w:rPr>
          <w:rFonts w:eastAsia="仿宋_GB2312"/>
          <w:spacing w:val="8"/>
          <w:sz w:val="32"/>
          <w:szCs w:val="32"/>
        </w:rPr>
        <w:t>华北平原</w:t>
      </w:r>
      <w:r>
        <w:rPr>
          <w:rFonts w:eastAsia="仿宋_GB2312"/>
          <w:spacing w:val="8"/>
          <w:sz w:val="32"/>
          <w:szCs w:val="32"/>
        </w:rPr>
        <w:fldChar w:fldCharType="end"/>
      </w:r>
      <w:r>
        <w:rPr>
          <w:rFonts w:eastAsia="仿宋_GB2312"/>
          <w:spacing w:val="8"/>
          <w:sz w:val="32"/>
          <w:szCs w:val="32"/>
        </w:rPr>
        <w:t>北端，</w:t>
      </w:r>
      <w:r>
        <w:rPr>
          <w:rFonts w:eastAsia="仿宋_GB2312"/>
          <w:spacing w:val="8"/>
          <w:sz w:val="32"/>
          <w:szCs w:val="32"/>
        </w:rPr>
        <w:fldChar w:fldCharType="begin"/>
      </w:r>
      <w:r>
        <w:rPr>
          <w:rFonts w:eastAsia="仿宋_GB2312"/>
          <w:spacing w:val="8"/>
          <w:sz w:val="32"/>
          <w:szCs w:val="32"/>
        </w:rPr>
        <w:instrText xml:space="preserve">HYPERLINK "http://baike.so.com/doc/3522927-3705680.html" \t "_blank"</w:instrText>
      </w:r>
      <w:r>
        <w:rPr>
          <w:rFonts w:eastAsia="仿宋_GB2312"/>
          <w:spacing w:val="8"/>
          <w:sz w:val="32"/>
          <w:szCs w:val="32"/>
        </w:rPr>
        <w:fldChar w:fldCharType="separate"/>
      </w:r>
      <w:r>
        <w:rPr>
          <w:rFonts w:eastAsia="仿宋_GB2312"/>
          <w:spacing w:val="8"/>
          <w:sz w:val="32"/>
          <w:szCs w:val="32"/>
        </w:rPr>
        <w:t>燕山</w:t>
      </w:r>
      <w:r>
        <w:rPr>
          <w:rFonts w:eastAsia="仿宋_GB2312"/>
          <w:spacing w:val="8"/>
          <w:sz w:val="32"/>
          <w:szCs w:val="32"/>
        </w:rPr>
        <w:fldChar w:fldCharType="end"/>
      </w:r>
      <w:r>
        <w:rPr>
          <w:rFonts w:eastAsia="仿宋_GB2312"/>
          <w:spacing w:val="8"/>
          <w:sz w:val="32"/>
          <w:szCs w:val="32"/>
        </w:rPr>
        <w:t>南麓平原。县境</w:t>
      </w:r>
      <w:r>
        <w:rPr>
          <w:rFonts w:eastAsia="仿宋_GB2312"/>
          <w:spacing w:val="-4"/>
          <w:sz w:val="32"/>
          <w:szCs w:val="32"/>
        </w:rPr>
        <w:t>东、北、西北与</w:t>
      </w:r>
      <w:r>
        <w:rPr>
          <w:rFonts w:eastAsia="仿宋_GB2312"/>
          <w:spacing w:val="-4"/>
          <w:sz w:val="32"/>
          <w:szCs w:val="32"/>
        </w:rPr>
        <w:fldChar w:fldCharType="begin"/>
      </w:r>
      <w:r>
        <w:rPr>
          <w:rFonts w:eastAsia="仿宋_GB2312"/>
          <w:spacing w:val="-4"/>
          <w:sz w:val="32"/>
          <w:szCs w:val="32"/>
        </w:rPr>
        <w:instrText xml:space="preserve">HYPERLINK "http://baike.so.com/doc/5399862.html" \t "_blank"</w:instrText>
      </w:r>
      <w:r>
        <w:rPr>
          <w:rFonts w:eastAsia="仿宋_GB2312"/>
          <w:spacing w:val="-4"/>
          <w:sz w:val="32"/>
          <w:szCs w:val="32"/>
        </w:rPr>
        <w:fldChar w:fldCharType="separate"/>
      </w:r>
      <w:r>
        <w:rPr>
          <w:rFonts w:eastAsia="仿宋_GB2312"/>
          <w:spacing w:val="-4"/>
          <w:sz w:val="32"/>
          <w:szCs w:val="32"/>
        </w:rPr>
        <w:t>三河市</w:t>
      </w:r>
      <w:r>
        <w:rPr>
          <w:rFonts w:eastAsia="仿宋_GB2312"/>
          <w:spacing w:val="-4"/>
          <w:sz w:val="32"/>
          <w:szCs w:val="32"/>
        </w:rPr>
        <w:fldChar w:fldCharType="end"/>
      </w:r>
      <w:r>
        <w:rPr>
          <w:rFonts w:eastAsia="仿宋_GB2312"/>
          <w:spacing w:val="-4"/>
          <w:sz w:val="32"/>
          <w:szCs w:val="32"/>
        </w:rPr>
        <w:t>毗邻，南面与</w:t>
      </w:r>
      <w:r>
        <w:rPr>
          <w:rFonts w:eastAsia="仿宋_GB2312"/>
          <w:spacing w:val="-4"/>
          <w:sz w:val="32"/>
          <w:szCs w:val="32"/>
        </w:rPr>
        <w:fldChar w:fldCharType="begin"/>
      </w:r>
      <w:r>
        <w:rPr>
          <w:rFonts w:eastAsia="仿宋_GB2312"/>
          <w:spacing w:val="-4"/>
          <w:sz w:val="32"/>
          <w:szCs w:val="32"/>
        </w:rPr>
        <w:instrText xml:space="preserve">HYPERLINK "http://baike.so.com/doc/5675263-5887934.html" \t "_blank"</w:instrText>
      </w:r>
      <w:r>
        <w:rPr>
          <w:rFonts w:eastAsia="仿宋_GB2312"/>
          <w:spacing w:val="-4"/>
          <w:sz w:val="32"/>
          <w:szCs w:val="32"/>
        </w:rPr>
        <w:fldChar w:fldCharType="separate"/>
      </w:r>
      <w:r>
        <w:rPr>
          <w:rFonts w:eastAsia="仿宋_GB2312"/>
          <w:spacing w:val="-4"/>
          <w:sz w:val="32"/>
          <w:szCs w:val="32"/>
        </w:rPr>
        <w:t>香河县</w:t>
      </w:r>
      <w:r>
        <w:rPr>
          <w:rFonts w:eastAsia="仿宋_GB2312"/>
          <w:spacing w:val="-4"/>
          <w:sz w:val="32"/>
          <w:szCs w:val="32"/>
        </w:rPr>
        <w:fldChar w:fldCharType="end"/>
      </w:r>
      <w:r>
        <w:rPr>
          <w:rFonts w:eastAsia="仿宋_GB2312"/>
          <w:spacing w:val="-4"/>
          <w:sz w:val="32"/>
          <w:szCs w:val="32"/>
        </w:rPr>
        <w:t>接壤，西、西南与北京市</w:t>
      </w:r>
      <w:r>
        <w:rPr>
          <w:rFonts w:eastAsia="仿宋_GB2312"/>
          <w:spacing w:val="-4"/>
          <w:sz w:val="32"/>
          <w:szCs w:val="32"/>
        </w:rPr>
        <w:fldChar w:fldCharType="begin"/>
      </w:r>
      <w:r>
        <w:rPr>
          <w:rFonts w:eastAsia="仿宋_GB2312"/>
          <w:spacing w:val="-4"/>
          <w:sz w:val="32"/>
          <w:szCs w:val="32"/>
        </w:rPr>
        <w:instrText xml:space="preserve">HYPERLINK "http://baike.so.com/doc/5727383-5940121.html" \t "_blank"</w:instrText>
      </w:r>
      <w:r>
        <w:rPr>
          <w:rFonts w:eastAsia="仿宋_GB2312"/>
          <w:spacing w:val="-4"/>
          <w:sz w:val="32"/>
          <w:szCs w:val="32"/>
        </w:rPr>
        <w:fldChar w:fldCharType="separate"/>
      </w:r>
      <w:r>
        <w:rPr>
          <w:rFonts w:eastAsia="仿宋_GB2312"/>
          <w:spacing w:val="-4"/>
          <w:sz w:val="32"/>
          <w:szCs w:val="32"/>
        </w:rPr>
        <w:t>通州区</w:t>
      </w:r>
      <w:r>
        <w:rPr>
          <w:rFonts w:eastAsia="仿宋_GB2312"/>
          <w:spacing w:val="-4"/>
          <w:sz w:val="32"/>
          <w:szCs w:val="32"/>
        </w:rPr>
        <w:fldChar w:fldCharType="end"/>
      </w:r>
      <w:r>
        <w:rPr>
          <w:rFonts w:eastAsia="仿宋_GB2312"/>
          <w:spacing w:val="-4"/>
          <w:sz w:val="32"/>
          <w:szCs w:val="32"/>
        </w:rPr>
        <w:t>隔</w:t>
      </w:r>
      <w:r>
        <w:rPr>
          <w:rFonts w:eastAsia="仿宋_GB2312"/>
          <w:spacing w:val="-4"/>
          <w:sz w:val="32"/>
          <w:szCs w:val="32"/>
        </w:rPr>
        <w:fldChar w:fldCharType="begin"/>
      </w:r>
      <w:r>
        <w:rPr>
          <w:rFonts w:eastAsia="仿宋_GB2312"/>
          <w:spacing w:val="-4"/>
          <w:sz w:val="32"/>
          <w:szCs w:val="32"/>
        </w:rPr>
        <w:instrText xml:space="preserve">HYPERLINK "http://baike.so.com/doc/5364199-5599791.html" \t "_blank"</w:instrText>
      </w:r>
      <w:r>
        <w:rPr>
          <w:rFonts w:eastAsia="仿宋_GB2312"/>
          <w:spacing w:val="-4"/>
          <w:sz w:val="32"/>
          <w:szCs w:val="32"/>
        </w:rPr>
        <w:fldChar w:fldCharType="separate"/>
      </w:r>
      <w:r>
        <w:rPr>
          <w:rFonts w:eastAsia="仿宋_GB2312"/>
          <w:spacing w:val="-4"/>
          <w:sz w:val="32"/>
          <w:szCs w:val="32"/>
        </w:rPr>
        <w:t>潮白河</w:t>
      </w:r>
      <w:r>
        <w:rPr>
          <w:rFonts w:eastAsia="仿宋_GB2312"/>
          <w:spacing w:val="-4"/>
          <w:sz w:val="32"/>
          <w:szCs w:val="32"/>
        </w:rPr>
        <w:fldChar w:fldCharType="end"/>
      </w:r>
      <w:r>
        <w:rPr>
          <w:rFonts w:eastAsia="仿宋_GB2312"/>
          <w:spacing w:val="-4"/>
          <w:sz w:val="32"/>
          <w:szCs w:val="32"/>
        </w:rPr>
        <w:t>相望，与三河市、香河县一起环抱在北京、天津两个直辖市之中。县境东西最长距离22.22公里，南北最长距离17.89公里，总面积176.29平方公里。</w:t>
      </w:r>
    </w:p>
    <w:p>
      <w:pPr>
        <w:spacing w:line="240" w:lineRule="auto"/>
        <w:ind w:firstLine="0" w:firstLineChars="0"/>
        <w:jc w:val="center"/>
        <w:rPr>
          <w:rFonts w:eastAsia="仿宋_GB2312"/>
          <w:sz w:val="32"/>
          <w:szCs w:val="32"/>
        </w:rPr>
      </w:pPr>
      <w:r>
        <w:drawing>
          <wp:inline distT="0" distB="0" distL="114300" distR="114300">
            <wp:extent cx="4641850" cy="2400935"/>
            <wp:effectExtent l="0" t="0" r="6350" b="18415"/>
            <wp:docPr id="11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82"/>
                    <pic:cNvPicPr>
                      <a:picLocks noChangeAspect="1"/>
                    </pic:cNvPicPr>
                  </pic:nvPicPr>
                  <pic:blipFill>
                    <a:blip r:embed="rId42"/>
                    <a:stretch>
                      <a:fillRect/>
                    </a:stretch>
                  </pic:blipFill>
                  <pic:spPr>
                    <a:xfrm>
                      <a:off x="0" y="0"/>
                      <a:ext cx="4641850" cy="2400935"/>
                    </a:xfrm>
                    <a:prstGeom prst="rect">
                      <a:avLst/>
                    </a:prstGeom>
                    <a:noFill/>
                    <a:ln w="9525">
                      <a:noFill/>
                    </a:ln>
                  </pic:spPr>
                </pic:pic>
              </a:graphicData>
            </a:graphic>
          </wp:inline>
        </w:drawing>
      </w:r>
    </w:p>
    <w:p>
      <w:pPr>
        <w:spacing w:before="97" w:beforeLines="30" w:line="240" w:lineRule="auto"/>
        <w:ind w:firstLineChars="83"/>
        <w:jc w:val="center"/>
        <w:rPr>
          <w:rFonts w:eastAsia="仿宋_GB2312"/>
          <w:b/>
          <w:szCs w:val="32"/>
        </w:rPr>
      </w:pPr>
      <w:r>
        <w:rPr>
          <w:rFonts w:eastAsia="仿宋_GB2312"/>
          <w:b/>
          <w:szCs w:val="32"/>
        </w:rPr>
        <w:t>图2</w:t>
      </w:r>
      <w:r>
        <w:rPr>
          <w:rFonts w:hint="eastAsia" w:eastAsia="仿宋_GB2312" w:cs="Times New Roman"/>
          <w:b/>
        </w:rPr>
        <w:t>-</w:t>
      </w:r>
      <w:r>
        <w:rPr>
          <w:rFonts w:eastAsia="仿宋_GB2312"/>
          <w:b/>
          <w:szCs w:val="32"/>
        </w:rPr>
        <w:t>2　大厂县地理位置</w:t>
      </w:r>
    </w:p>
    <w:p>
      <w:pPr>
        <w:pStyle w:val="4"/>
        <w:spacing w:line="570" w:lineRule="exact"/>
        <w:ind w:firstLine="643"/>
      </w:pPr>
      <w:bookmarkStart w:id="215" w:name="_Toc23784061"/>
      <w:bookmarkStart w:id="216" w:name="_Toc16391"/>
      <w:bookmarkStart w:id="217" w:name="_Toc7223"/>
      <w:bookmarkStart w:id="218" w:name="_Toc8026"/>
      <w:bookmarkStart w:id="219" w:name="_Toc32523"/>
      <w:bookmarkStart w:id="220" w:name="_Toc460596315"/>
      <w:r>
        <w:t>2.1.3香河县</w:t>
      </w:r>
      <w:bookmarkEnd w:id="215"/>
      <w:bookmarkEnd w:id="216"/>
      <w:bookmarkEnd w:id="217"/>
      <w:bookmarkEnd w:id="218"/>
      <w:bookmarkEnd w:id="219"/>
      <w:bookmarkEnd w:id="220"/>
    </w:p>
    <w:p>
      <w:pPr>
        <w:spacing w:line="570" w:lineRule="exact"/>
        <w:ind w:firstLine="608"/>
        <w:rPr>
          <w:rFonts w:eastAsia="仿宋_GB2312"/>
          <w:spacing w:val="-8"/>
          <w:sz w:val="32"/>
          <w:szCs w:val="32"/>
        </w:rPr>
      </w:pPr>
      <w:r>
        <w:rPr>
          <w:rFonts w:eastAsia="仿宋_GB2312"/>
          <w:spacing w:val="-8"/>
          <w:sz w:val="32"/>
          <w:szCs w:val="32"/>
        </w:rPr>
        <w:t>香河县位于廊坊市北部，地理位置东经116°52</w:t>
      </w:r>
      <w:r>
        <w:rPr>
          <w:rFonts w:eastAsia="仿宋_GB2312"/>
          <w:spacing w:val="8"/>
          <w:sz w:val="32"/>
          <w:szCs w:val="32"/>
        </w:rPr>
        <w:t>'</w:t>
      </w:r>
      <w:r>
        <w:rPr>
          <w:rFonts w:eastAsia="仿宋_GB2312"/>
          <w:spacing w:val="-8"/>
          <w:sz w:val="32"/>
          <w:szCs w:val="32"/>
        </w:rPr>
        <w:t>—117°11</w:t>
      </w:r>
      <w:r>
        <w:rPr>
          <w:rFonts w:eastAsia="仿宋_GB2312"/>
          <w:spacing w:val="8"/>
          <w:sz w:val="32"/>
          <w:szCs w:val="32"/>
        </w:rPr>
        <w:t>'</w:t>
      </w:r>
      <w:r>
        <w:rPr>
          <w:rFonts w:eastAsia="仿宋_GB2312"/>
          <w:spacing w:val="-8"/>
          <w:sz w:val="32"/>
          <w:szCs w:val="32"/>
        </w:rPr>
        <w:t>；北纬39°36</w:t>
      </w:r>
      <w:r>
        <w:rPr>
          <w:rFonts w:eastAsia="仿宋_GB2312"/>
          <w:spacing w:val="8"/>
          <w:sz w:val="32"/>
          <w:szCs w:val="32"/>
        </w:rPr>
        <w:t>'</w:t>
      </w:r>
      <w:r>
        <w:rPr>
          <w:rFonts w:eastAsia="仿宋_GB2312"/>
          <w:spacing w:val="-8"/>
          <w:sz w:val="32"/>
          <w:szCs w:val="32"/>
        </w:rPr>
        <w:t>—39°51</w:t>
      </w:r>
      <w:r>
        <w:rPr>
          <w:rFonts w:eastAsia="仿宋_GB2312"/>
          <w:spacing w:val="8"/>
          <w:sz w:val="32"/>
          <w:szCs w:val="32"/>
        </w:rPr>
        <w:t>'</w:t>
      </w:r>
      <w:r>
        <w:rPr>
          <w:rFonts w:eastAsia="仿宋_GB2312"/>
          <w:spacing w:val="-8"/>
          <w:sz w:val="32"/>
          <w:szCs w:val="32"/>
        </w:rPr>
        <w:t>。全境呈枫叶型，东西最长25.5公里，南北最宽23.5公里，总面积458平方公里，人口36.5万。香河县辖淑阳镇、蒋辛屯镇、渠口镇、安平镇、安头屯镇、五百户镇、刘宋镇、钱旺镇和钳屯镇9个镇区，新开社区办、新华社区办、平安社区办3个社区办，一个开发区即香河经济技术开发区（包括环保产业园、新型产业园、智能制造园3个园区），300个行政村。</w:t>
      </w:r>
    </w:p>
    <w:p>
      <w:pPr>
        <w:spacing w:line="240" w:lineRule="auto"/>
        <w:ind w:firstLine="0" w:firstLineChars="0"/>
        <w:jc w:val="center"/>
        <w:rPr>
          <w:rFonts w:eastAsia="仿宋_GB2312"/>
          <w:sz w:val="32"/>
          <w:szCs w:val="32"/>
        </w:rPr>
      </w:pPr>
      <w:r>
        <w:drawing>
          <wp:inline distT="0" distB="0" distL="114300" distR="114300">
            <wp:extent cx="4922520" cy="2381250"/>
            <wp:effectExtent l="0" t="0" r="11430" b="0"/>
            <wp:docPr id="11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83"/>
                    <pic:cNvPicPr>
                      <a:picLocks noChangeAspect="1"/>
                    </pic:cNvPicPr>
                  </pic:nvPicPr>
                  <pic:blipFill>
                    <a:blip r:embed="rId43"/>
                    <a:stretch>
                      <a:fillRect/>
                    </a:stretch>
                  </pic:blipFill>
                  <pic:spPr>
                    <a:xfrm>
                      <a:off x="0" y="0"/>
                      <a:ext cx="4922520" cy="2381250"/>
                    </a:xfrm>
                    <a:prstGeom prst="rect">
                      <a:avLst/>
                    </a:prstGeom>
                    <a:noFill/>
                    <a:ln w="9525">
                      <a:noFill/>
                    </a:ln>
                  </pic:spPr>
                </pic:pic>
              </a:graphicData>
            </a:graphic>
          </wp:inline>
        </w:drawing>
      </w:r>
    </w:p>
    <w:p>
      <w:pPr>
        <w:spacing w:before="97" w:beforeLines="30" w:line="240" w:lineRule="auto"/>
        <w:ind w:firstLine="0" w:firstLineChars="0"/>
        <w:jc w:val="center"/>
        <w:rPr>
          <w:rFonts w:eastAsia="仿宋_GB2312"/>
          <w:b/>
          <w:szCs w:val="32"/>
        </w:rPr>
      </w:pPr>
      <w:r>
        <w:rPr>
          <w:rFonts w:eastAsia="仿宋_GB2312"/>
          <w:b/>
          <w:szCs w:val="32"/>
        </w:rPr>
        <w:t>图2</w:t>
      </w:r>
      <w:r>
        <w:rPr>
          <w:rFonts w:hint="eastAsia" w:eastAsia="仿宋_GB2312" w:cs="Times New Roman"/>
          <w:b/>
        </w:rPr>
        <w:t>-</w:t>
      </w:r>
      <w:r>
        <w:rPr>
          <w:rFonts w:eastAsia="仿宋_GB2312"/>
          <w:b/>
          <w:szCs w:val="32"/>
        </w:rPr>
        <w:t>3 香河县地理位置</w:t>
      </w:r>
    </w:p>
    <w:p>
      <w:pPr>
        <w:pStyle w:val="3"/>
        <w:ind w:left="643" w:firstLine="0" w:firstLineChars="0"/>
        <w:rPr>
          <w:rFonts w:eastAsia="楷体_GB2312"/>
        </w:rPr>
      </w:pPr>
      <w:bookmarkStart w:id="221" w:name="_Toc21319"/>
      <w:bookmarkStart w:id="222" w:name="_Toc1779"/>
      <w:bookmarkStart w:id="223" w:name="_Toc23863"/>
      <w:bookmarkStart w:id="224" w:name="_Toc6278"/>
      <w:bookmarkStart w:id="225" w:name="_Toc23784062"/>
      <w:bookmarkStart w:id="226" w:name="_Toc460596316"/>
      <w:r>
        <w:rPr>
          <w:rFonts w:eastAsia="楷体_GB2312"/>
        </w:rPr>
        <w:t>2.2潮白河水系概况</w:t>
      </w:r>
      <w:bookmarkEnd w:id="221"/>
      <w:bookmarkEnd w:id="222"/>
      <w:bookmarkEnd w:id="223"/>
      <w:bookmarkEnd w:id="224"/>
      <w:bookmarkEnd w:id="225"/>
      <w:bookmarkEnd w:id="226"/>
    </w:p>
    <w:p>
      <w:pPr>
        <w:spacing w:line="584" w:lineRule="exact"/>
        <w:ind w:firstLine="640"/>
        <w:rPr>
          <w:rFonts w:eastAsia="仿宋_GB2312"/>
          <w:sz w:val="32"/>
          <w:szCs w:val="32"/>
        </w:rPr>
      </w:pPr>
      <w:r>
        <w:rPr>
          <w:rFonts w:eastAsia="仿宋_GB2312"/>
          <w:sz w:val="32"/>
          <w:szCs w:val="32"/>
        </w:rPr>
        <w:t>潮白河为流经北京市北部、东部的重要河流，属海河水系，同时也是流经廊坊市的主要河流之一。其上源有两支，东支为潮河，西支为白河，在密云县河槽村附近汇合后，形成潮白河。</w:t>
      </w:r>
    </w:p>
    <w:p>
      <w:pPr>
        <w:spacing w:line="584" w:lineRule="exact"/>
        <w:ind w:firstLine="640"/>
        <w:rPr>
          <w:rFonts w:eastAsia="仿宋_GB2312"/>
          <w:sz w:val="32"/>
          <w:szCs w:val="32"/>
        </w:rPr>
      </w:pPr>
      <w:r>
        <w:rPr>
          <w:rFonts w:eastAsia="仿宋_GB2312"/>
          <w:sz w:val="32"/>
          <w:szCs w:val="32"/>
        </w:rPr>
        <w:t>潮河发源于河北省丰宁满族自治县草碾子沟南山下，经滦平县，自古北口入北京市密云县境，有安达木河、清水河、红门川等支流汇入，在辛庄附近注入密云水库。</w:t>
      </w:r>
    </w:p>
    <w:p>
      <w:pPr>
        <w:spacing w:line="584" w:lineRule="exact"/>
        <w:ind w:firstLine="640"/>
        <w:rPr>
          <w:rFonts w:eastAsia="仿宋_GB2312"/>
          <w:sz w:val="32"/>
          <w:szCs w:val="32"/>
        </w:rPr>
      </w:pPr>
      <w:r>
        <w:rPr>
          <w:rFonts w:eastAsia="仿宋_GB2312"/>
          <w:sz w:val="32"/>
          <w:szCs w:val="32"/>
        </w:rPr>
        <w:t>白河发源于河北省沽源县，经赤城县于白河堡进入北京市延庆县境，东流经怀柔县青石岭入密云县，沿途有黑河、汤河、白马关河等支流汇入，在张家坟附近注入密云水库。</w:t>
      </w:r>
    </w:p>
    <w:p>
      <w:pPr>
        <w:spacing w:line="584" w:lineRule="exact"/>
        <w:ind w:firstLine="640"/>
        <w:rPr>
          <w:rFonts w:eastAsia="仿宋_GB2312"/>
          <w:sz w:val="32"/>
          <w:szCs w:val="32"/>
        </w:rPr>
      </w:pPr>
      <w:r>
        <w:rPr>
          <w:rFonts w:eastAsia="仿宋_GB2312"/>
          <w:sz w:val="32"/>
          <w:szCs w:val="32"/>
        </w:rPr>
        <w:t>潮、白两河出库后，各自排放故道，于密云县城之西南的河漕村汇合后称潮白河。潮白河从北杨庄进入三河市，穿三河、大厂、香河经吴村闸至香河荣各庄进入天津宝坻，通过潮白新河进入永定新河于北塘入海。潮白河在北三河中流量最大。</w:t>
      </w:r>
    </w:p>
    <w:p>
      <w:pPr>
        <w:spacing w:line="584" w:lineRule="exact"/>
        <w:ind w:firstLine="640"/>
        <w:rPr>
          <w:rFonts w:hint="eastAsia" w:eastAsia="仿宋_GB2312"/>
          <w:sz w:val="32"/>
          <w:szCs w:val="32"/>
        </w:rPr>
      </w:pPr>
      <w:r>
        <w:rPr>
          <w:rFonts w:eastAsia="仿宋_GB2312"/>
          <w:sz w:val="32"/>
          <w:szCs w:val="32"/>
        </w:rPr>
        <w:t>本方案潮白河水系为廊坊市三河、大厂、香河境内潮白河段，沿途有运潮减河、北运河汇入，以及涉及部分排污口（排干渠）等不定期汇入。具体水系概化示意图如下：</w:t>
      </w:r>
    </w:p>
    <w:p>
      <w:pPr>
        <w:spacing w:line="240" w:lineRule="auto"/>
        <w:ind w:firstLine="0" w:firstLineChars="0"/>
        <w:jc w:val="center"/>
        <w:rPr>
          <w:rFonts w:eastAsia="仿宋_GB2312"/>
          <w:sz w:val="32"/>
          <w:szCs w:val="32"/>
        </w:rPr>
      </w:pPr>
      <w:r>
        <w:drawing>
          <wp:inline distT="0" distB="0" distL="114300" distR="114300">
            <wp:extent cx="5140960" cy="4185285"/>
            <wp:effectExtent l="0" t="0" r="2540" b="5715"/>
            <wp:docPr id="118" name="图片 84" descr="水系概化示意图-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84" descr="水系概化示意图-新"/>
                    <pic:cNvPicPr>
                      <a:picLocks noChangeAspect="1"/>
                    </pic:cNvPicPr>
                  </pic:nvPicPr>
                  <pic:blipFill>
                    <a:blip r:embed="rId44"/>
                    <a:srcRect t="10294" b="8397"/>
                    <a:stretch>
                      <a:fillRect/>
                    </a:stretch>
                  </pic:blipFill>
                  <pic:spPr>
                    <a:xfrm>
                      <a:off x="0" y="0"/>
                      <a:ext cx="5140960" cy="4185285"/>
                    </a:xfrm>
                    <a:prstGeom prst="rect">
                      <a:avLst/>
                    </a:prstGeom>
                    <a:noFill/>
                    <a:ln w="9525">
                      <a:noFill/>
                    </a:ln>
                  </pic:spPr>
                </pic:pic>
              </a:graphicData>
            </a:graphic>
          </wp:inline>
        </w:drawing>
      </w:r>
    </w:p>
    <w:p>
      <w:pPr>
        <w:spacing w:line="240" w:lineRule="auto"/>
        <w:ind w:firstLine="0" w:firstLineChars="0"/>
        <w:jc w:val="center"/>
        <w:rPr>
          <w:rFonts w:eastAsia="仿宋_GB2312"/>
          <w:b/>
          <w:szCs w:val="32"/>
        </w:rPr>
      </w:pPr>
      <w:r>
        <w:rPr>
          <w:rFonts w:eastAsia="仿宋_GB2312"/>
          <w:b/>
          <w:szCs w:val="32"/>
        </w:rPr>
        <w:t>图2</w:t>
      </w:r>
      <w:r>
        <w:rPr>
          <w:rFonts w:hint="eastAsia" w:eastAsia="仿宋_GB2312" w:cs="Times New Roman"/>
          <w:b/>
        </w:rPr>
        <w:t>-</w:t>
      </w:r>
      <w:r>
        <w:rPr>
          <w:rFonts w:eastAsia="仿宋_GB2312"/>
          <w:b/>
          <w:szCs w:val="32"/>
        </w:rPr>
        <w:t>4　廊坊市潮白河水系概化示意图</w:t>
      </w:r>
    </w:p>
    <w:p>
      <w:pPr>
        <w:pStyle w:val="3"/>
        <w:spacing w:line="590" w:lineRule="exact"/>
        <w:ind w:left="643" w:firstLine="0" w:firstLineChars="0"/>
        <w:rPr>
          <w:rFonts w:eastAsia="楷体_GB2312"/>
        </w:rPr>
      </w:pPr>
      <w:bookmarkStart w:id="227" w:name="_Toc446527272"/>
      <w:bookmarkStart w:id="228" w:name="_Toc460596317"/>
      <w:bookmarkStart w:id="229" w:name="_Toc20058"/>
      <w:bookmarkStart w:id="230" w:name="_Toc13912"/>
      <w:bookmarkStart w:id="231" w:name="_Toc6194"/>
      <w:bookmarkStart w:id="232" w:name="_Toc13826"/>
      <w:bookmarkStart w:id="233" w:name="_Toc23784063"/>
      <w:bookmarkStart w:id="234" w:name="_Toc445052287"/>
      <w:r>
        <w:rPr>
          <w:rFonts w:eastAsia="楷体_GB2312"/>
        </w:rPr>
        <w:t>2.3地形地貌</w:t>
      </w:r>
      <w:bookmarkEnd w:id="227"/>
      <w:bookmarkEnd w:id="228"/>
      <w:bookmarkEnd w:id="229"/>
      <w:bookmarkEnd w:id="230"/>
      <w:bookmarkEnd w:id="231"/>
      <w:bookmarkEnd w:id="232"/>
      <w:bookmarkEnd w:id="233"/>
      <w:bookmarkEnd w:id="234"/>
    </w:p>
    <w:p>
      <w:pPr>
        <w:adjustRightInd w:val="0"/>
        <w:snapToGrid w:val="0"/>
        <w:spacing w:line="590" w:lineRule="exact"/>
        <w:ind w:firstLine="664"/>
        <w:rPr>
          <w:rFonts w:eastAsia="仿宋_GB2312"/>
          <w:spacing w:val="6"/>
          <w:sz w:val="32"/>
          <w:szCs w:val="32"/>
        </w:rPr>
      </w:pPr>
      <w:r>
        <w:rPr>
          <w:rFonts w:eastAsia="仿宋_GB2312"/>
          <w:spacing w:val="6"/>
          <w:sz w:val="32"/>
          <w:szCs w:val="32"/>
        </w:rPr>
        <w:t>三河市地处燕山山前平原地区，总地势北高南低，自北向南倾斜，按地形地貌特点，可分为低山丘陵、平原和洼地。其中平原面积最大，主要由潮白河-蓟运河冲洪积扇构成，平均海拔高程5.9</w:t>
      </w:r>
      <w:r>
        <w:rPr>
          <w:rFonts w:hint="eastAsia" w:eastAsia="仿宋_GB2312"/>
          <w:spacing w:val="6"/>
          <w:sz w:val="32"/>
          <w:szCs w:val="32"/>
        </w:rPr>
        <w:t>~</w:t>
      </w:r>
      <w:r>
        <w:rPr>
          <w:rFonts w:eastAsia="仿宋_GB2312"/>
          <w:spacing w:val="6"/>
          <w:sz w:val="32"/>
          <w:szCs w:val="32"/>
        </w:rPr>
        <w:t>31.9米（黄海标高），地面自然纵坡1/1500左右，低山丘陵主要分布在本市东北部的蒋福山地区。该区域周缘为海拔335.2</w:t>
      </w:r>
      <w:r>
        <w:rPr>
          <w:rFonts w:hint="eastAsia" w:eastAsia="仿宋_GB2312"/>
          <w:spacing w:val="6"/>
          <w:sz w:val="32"/>
          <w:szCs w:val="32"/>
        </w:rPr>
        <w:t>~</w:t>
      </w:r>
      <w:r>
        <w:rPr>
          <w:rFonts w:eastAsia="仿宋_GB2312"/>
          <w:spacing w:val="6"/>
          <w:sz w:val="32"/>
          <w:szCs w:val="32"/>
        </w:rPr>
        <w:t>458.5米的龙门山和青龙山，中间为海拔200</w:t>
      </w:r>
      <w:r>
        <w:rPr>
          <w:rFonts w:hint="eastAsia" w:eastAsia="仿宋_GB2312"/>
          <w:spacing w:val="6"/>
          <w:sz w:val="32"/>
          <w:szCs w:val="32"/>
        </w:rPr>
        <w:t>~</w:t>
      </w:r>
      <w:r>
        <w:rPr>
          <w:rFonts w:eastAsia="仿宋_GB2312"/>
          <w:spacing w:val="6"/>
          <w:sz w:val="32"/>
          <w:szCs w:val="32"/>
        </w:rPr>
        <w:t>212米的蒋福山盆地，此外在三河市西北部还有一海拔90.4米的孤山挺立于倾斜平原上，洼地主要分布在本市东南部的引</w:t>
      </w:r>
      <w:r>
        <w:rPr>
          <w:rFonts w:eastAsia="仿宋"/>
          <w:spacing w:val="6"/>
          <w:sz w:val="32"/>
          <w:szCs w:val="32"/>
        </w:rPr>
        <w:t>泃</w:t>
      </w:r>
      <w:r>
        <w:rPr>
          <w:rFonts w:eastAsia="仿宋_GB2312"/>
          <w:spacing w:val="6"/>
          <w:sz w:val="32"/>
          <w:szCs w:val="32"/>
        </w:rPr>
        <w:t>入潮与鲍邱河、潮白河两岸、地势低平，多积水洼地。其中，潮白河流域主要涉及的燕郊国家高新技术产业园区、燕郊镇位于潮白河冲洪积扇中部，域内大部分地势平坦，无大的地形起伏，地势自西北向东南倾斜，地面标高28米</w:t>
      </w:r>
      <w:r>
        <w:rPr>
          <w:rFonts w:hint="eastAsia" w:eastAsia="仿宋_GB2312"/>
          <w:spacing w:val="6"/>
          <w:sz w:val="32"/>
          <w:szCs w:val="32"/>
        </w:rPr>
        <w:t>~</w:t>
      </w:r>
      <w:r>
        <w:rPr>
          <w:rFonts w:eastAsia="仿宋_GB2312"/>
          <w:spacing w:val="6"/>
          <w:sz w:val="32"/>
          <w:szCs w:val="32"/>
        </w:rPr>
        <w:t>20米，自然坡降为0.6</w:t>
      </w:r>
      <w:r>
        <w:rPr>
          <w:rFonts w:hint="eastAsia" w:eastAsia="仿宋_GB2312"/>
          <w:spacing w:val="6"/>
          <w:sz w:val="32"/>
          <w:szCs w:val="32"/>
        </w:rPr>
        <w:t>~</w:t>
      </w:r>
      <w:r>
        <w:rPr>
          <w:rFonts w:eastAsia="仿宋_GB2312"/>
          <w:spacing w:val="6"/>
          <w:sz w:val="32"/>
          <w:szCs w:val="32"/>
        </w:rPr>
        <w:t>0.8‰。</w:t>
      </w:r>
    </w:p>
    <w:p>
      <w:pPr>
        <w:adjustRightInd w:val="0"/>
        <w:snapToGrid w:val="0"/>
        <w:spacing w:line="590" w:lineRule="exact"/>
        <w:ind w:firstLine="640"/>
        <w:rPr>
          <w:rFonts w:eastAsia="仿宋_GB2312"/>
          <w:sz w:val="32"/>
          <w:szCs w:val="32"/>
        </w:rPr>
      </w:pPr>
      <w:r>
        <w:rPr>
          <w:rFonts w:eastAsia="仿宋_GB2312"/>
          <w:sz w:val="32"/>
          <w:szCs w:val="32"/>
        </w:rPr>
        <w:t>大厂县地貌形态为平原区。由于邻近燕山山区，地形上略有差异。西北部略高，最高海拔高程为24.5米，东南部略低，高程最低为10.5米。大厂县位于燕山纬向构造带的南缘，处在三河至迁安弧形褶带以南和涞源至乐亭断裂带以北地区，大厂凹陷东部的翘起部分。县内地层表层为第四纪全新世粘土、亚粘土。钻探验证地下上部为第四纪更新世河湖相夹海相及冰川沉积，厚约500至600米，下部为上第三纪河流相湖相碎屑岩沉积，最底部为中上元古代白云岩及白云质灰岩。大厂县北部、中部是</w:t>
      </w:r>
      <w:r>
        <w:rPr>
          <w:rFonts w:eastAsia="仿宋"/>
          <w:sz w:val="32"/>
          <w:szCs w:val="32"/>
        </w:rPr>
        <w:t>泃</w:t>
      </w:r>
      <w:r>
        <w:rPr>
          <w:rFonts w:eastAsia="仿宋_GB2312"/>
          <w:sz w:val="32"/>
          <w:szCs w:val="32"/>
        </w:rPr>
        <w:t>河冲洪积扇，成土质为洪积冲击物，土壤发育为潮褐土（黄土）；西南为潮白河冲洪积扇，土壤发育为潮土，东南部为扇间洼地，由于水质较差，发育为盐化潮土；其余河旁洼地土壤发育为沼泽土或沼泽化潮土。故土壤大致可分五类，其中褐色土占57.7%；潮土占37.8%；草甸土、沼泽土、风沙土占4.5%。表层土质主要以轻壤中壤为主，西部有一些沙壤；部分地区有黏土。总体看土壤有机质和速效磷含量不高，肥力较低，但轻、中壤适合种植多种农作物。</w:t>
      </w:r>
    </w:p>
    <w:p>
      <w:pPr>
        <w:adjustRightInd w:val="0"/>
        <w:snapToGrid w:val="0"/>
        <w:spacing w:line="590" w:lineRule="exact"/>
        <w:ind w:firstLine="640"/>
        <w:rPr>
          <w:rFonts w:eastAsia="仿宋_GB2312"/>
          <w:sz w:val="32"/>
          <w:szCs w:val="32"/>
        </w:rPr>
      </w:pPr>
      <w:r>
        <w:rPr>
          <w:rFonts w:eastAsia="仿宋_GB2312"/>
          <w:sz w:val="32"/>
          <w:szCs w:val="32"/>
        </w:rPr>
        <w:t>香河县地势西北高东南低，海拔4.9</w:t>
      </w:r>
      <w:r>
        <w:rPr>
          <w:rFonts w:hint="eastAsia" w:eastAsia="仿宋_GB2312"/>
          <w:sz w:val="32"/>
          <w:szCs w:val="32"/>
        </w:rPr>
        <w:t>~</w:t>
      </w:r>
      <w:r>
        <w:rPr>
          <w:rFonts w:eastAsia="仿宋_GB2312"/>
          <w:sz w:val="32"/>
          <w:szCs w:val="32"/>
        </w:rPr>
        <w:t>15.9m米，自然坡降1/3000左右，地面高程4.9</w:t>
      </w:r>
      <w:r>
        <w:rPr>
          <w:rFonts w:hint="eastAsia" w:eastAsia="仿宋_GB2312"/>
          <w:sz w:val="32"/>
          <w:szCs w:val="32"/>
        </w:rPr>
        <w:t>~</w:t>
      </w:r>
      <w:r>
        <w:rPr>
          <w:rFonts w:eastAsia="仿宋_GB2312"/>
          <w:sz w:val="32"/>
          <w:szCs w:val="32"/>
        </w:rPr>
        <w:t>15.7米（黄海高程），是由扇缘向冲积平原过度的交接地带，北部受潮白河与鲍丘河的淤泥切割形成河间地带，西部和西南部，东部和东南部分别受北运河、潮白河的影响，形成香河县广阔的冲积平原。全县地处燕郊南麓强烈构造差异活动带，为京津地震重点监视区，城镇建设需按不同地震烈度要求设防。勘测深度范围内所见土层以第四纪新近沉积土为主，自上而下依次为素填土、杂填土、沙壤土、壤土、细沙、中细砂和粘土。</w:t>
      </w:r>
    </w:p>
    <w:p>
      <w:pPr>
        <w:pStyle w:val="3"/>
        <w:spacing w:line="590" w:lineRule="exact"/>
        <w:ind w:left="643" w:firstLine="0" w:firstLineChars="0"/>
        <w:rPr>
          <w:rFonts w:eastAsia="楷体_GB2312"/>
        </w:rPr>
      </w:pPr>
      <w:bookmarkStart w:id="235" w:name="_Toc445052288"/>
      <w:bookmarkStart w:id="236" w:name="_Toc446527273"/>
      <w:bookmarkStart w:id="237" w:name="_Toc460596318"/>
      <w:bookmarkStart w:id="238" w:name="_Toc30329"/>
      <w:bookmarkStart w:id="239" w:name="_Toc13064"/>
      <w:bookmarkStart w:id="240" w:name="_Toc15869"/>
      <w:bookmarkStart w:id="241" w:name="_Toc10580"/>
      <w:bookmarkStart w:id="242" w:name="_Toc23784064"/>
      <w:r>
        <w:rPr>
          <w:rFonts w:eastAsia="楷体_GB2312"/>
        </w:rPr>
        <w:t>2.4气候气象</w:t>
      </w:r>
      <w:bookmarkEnd w:id="235"/>
      <w:bookmarkEnd w:id="236"/>
      <w:bookmarkEnd w:id="237"/>
      <w:bookmarkEnd w:id="238"/>
      <w:bookmarkEnd w:id="239"/>
      <w:bookmarkEnd w:id="240"/>
      <w:bookmarkEnd w:id="241"/>
      <w:bookmarkEnd w:id="242"/>
    </w:p>
    <w:p>
      <w:pPr>
        <w:adjustRightInd w:val="0"/>
        <w:snapToGrid w:val="0"/>
        <w:spacing w:line="590" w:lineRule="exact"/>
        <w:ind w:firstLine="640"/>
        <w:rPr>
          <w:rFonts w:eastAsia="仿宋_GB2312"/>
          <w:sz w:val="32"/>
          <w:szCs w:val="32"/>
        </w:rPr>
      </w:pPr>
      <w:r>
        <w:rPr>
          <w:rFonts w:eastAsia="仿宋_GB2312"/>
          <w:sz w:val="32"/>
          <w:szCs w:val="32"/>
        </w:rPr>
        <w:t>三河市属暖温带大陆性季风气候，一年四季分明，春季干旱多风，夏季炎热多雨，秋季晴爽，冬季寒冷干燥。据相邻气象站通州站1974</w:t>
      </w:r>
      <w:r>
        <w:rPr>
          <w:rFonts w:hint="eastAsia" w:eastAsia="仿宋_GB2312"/>
          <w:sz w:val="32"/>
          <w:szCs w:val="32"/>
        </w:rPr>
        <w:t>—</w:t>
      </w:r>
      <w:r>
        <w:rPr>
          <w:rFonts w:eastAsia="仿宋_GB2312"/>
          <w:sz w:val="32"/>
          <w:szCs w:val="32"/>
        </w:rPr>
        <w:t>2010年资料，燕郊多年来平均气温为11.4</w:t>
      </w:r>
      <w:r>
        <w:rPr>
          <w:sz w:val="32"/>
          <w:szCs w:val="32"/>
        </w:rPr>
        <w:t>℃</w:t>
      </w:r>
      <w:r>
        <w:rPr>
          <w:rFonts w:eastAsia="仿宋_GB2312"/>
          <w:sz w:val="32"/>
          <w:szCs w:val="32"/>
        </w:rPr>
        <w:t>，最高气温为40.3</w:t>
      </w:r>
      <w:r>
        <w:rPr>
          <w:sz w:val="32"/>
          <w:szCs w:val="32"/>
        </w:rPr>
        <w:t>℃</w:t>
      </w:r>
      <w:r>
        <w:rPr>
          <w:rFonts w:eastAsia="仿宋_GB2312"/>
          <w:sz w:val="32"/>
          <w:szCs w:val="32"/>
        </w:rPr>
        <w:t>，最低气温为零下21.0</w:t>
      </w:r>
      <w:r>
        <w:rPr>
          <w:sz w:val="32"/>
          <w:szCs w:val="32"/>
        </w:rPr>
        <w:t>℃</w:t>
      </w:r>
      <w:r>
        <w:rPr>
          <w:rFonts w:eastAsia="仿宋_GB2312"/>
          <w:sz w:val="32"/>
          <w:szCs w:val="32"/>
        </w:rPr>
        <w:t>左右。无霜期为183天，冬季地面下有60</w:t>
      </w:r>
      <w:r>
        <w:rPr>
          <w:rFonts w:hint="eastAsia" w:eastAsia="仿宋_GB2312"/>
          <w:sz w:val="32"/>
          <w:szCs w:val="32"/>
        </w:rPr>
        <w:t>~</w:t>
      </w:r>
      <w:r>
        <w:rPr>
          <w:rFonts w:eastAsia="仿宋_GB2312"/>
          <w:sz w:val="32"/>
          <w:szCs w:val="32"/>
        </w:rPr>
        <w:t>80厘米的冻土层。</w:t>
      </w:r>
    </w:p>
    <w:p>
      <w:pPr>
        <w:adjustRightInd w:val="0"/>
        <w:snapToGrid w:val="0"/>
        <w:spacing w:line="590" w:lineRule="exact"/>
        <w:ind w:firstLine="616"/>
        <w:rPr>
          <w:rFonts w:eastAsia="仿宋_GB2312"/>
          <w:spacing w:val="-6"/>
          <w:sz w:val="32"/>
          <w:szCs w:val="32"/>
        </w:rPr>
      </w:pPr>
      <w:r>
        <w:rPr>
          <w:rFonts w:eastAsia="仿宋_GB2312"/>
          <w:spacing w:val="-6"/>
          <w:sz w:val="32"/>
          <w:szCs w:val="32"/>
        </w:rPr>
        <w:t>大厂县属暖温带亚湿润气候区，年平均气温11.9</w:t>
      </w:r>
      <w:r>
        <w:rPr>
          <w:spacing w:val="-6"/>
          <w:sz w:val="32"/>
          <w:szCs w:val="32"/>
        </w:rPr>
        <w:t>℃</w:t>
      </w:r>
      <w:r>
        <w:rPr>
          <w:rFonts w:eastAsia="仿宋_GB2312"/>
          <w:spacing w:val="-6"/>
          <w:sz w:val="32"/>
          <w:szCs w:val="32"/>
        </w:rPr>
        <w:t>，极端最高气温为40.6</w:t>
      </w:r>
      <w:r>
        <w:rPr>
          <w:spacing w:val="-6"/>
          <w:sz w:val="32"/>
          <w:szCs w:val="32"/>
        </w:rPr>
        <w:t>℃</w:t>
      </w:r>
      <w:r>
        <w:rPr>
          <w:rFonts w:eastAsia="仿宋_GB2312"/>
          <w:spacing w:val="-6"/>
          <w:sz w:val="32"/>
          <w:szCs w:val="32"/>
        </w:rPr>
        <w:t>（2000年7月1日），极端最低气温为</w:t>
      </w:r>
      <w:r>
        <w:rPr>
          <w:rFonts w:hint="eastAsia" w:eastAsia="仿宋_GB2312"/>
          <w:spacing w:val="-6"/>
          <w:sz w:val="32"/>
          <w:szCs w:val="32"/>
        </w:rPr>
        <w:t>-</w:t>
      </w:r>
      <w:r>
        <w:rPr>
          <w:rFonts w:eastAsia="仿宋_GB2312"/>
          <w:spacing w:val="-6"/>
          <w:sz w:val="32"/>
          <w:szCs w:val="32"/>
        </w:rPr>
        <w:t>22.3</w:t>
      </w:r>
      <w:r>
        <w:rPr>
          <w:spacing w:val="-6"/>
          <w:sz w:val="32"/>
          <w:szCs w:val="32"/>
        </w:rPr>
        <w:t>℃</w:t>
      </w:r>
      <w:r>
        <w:rPr>
          <w:rFonts w:eastAsia="仿宋_GB2312"/>
          <w:spacing w:val="-6"/>
          <w:sz w:val="32"/>
          <w:szCs w:val="32"/>
        </w:rPr>
        <w:t>（2001年1月15日）。年平均降水量为580.60毫米，最大年降水量为1071.80毫米（1994年），最少年降水量为327.60毫米（1983年）。年平均日照时数为2530小时，全年日照百分率为57%。年平均无霜期为205天。年平均风速为2.1米/秒，年平均大风日数10.70天。</w:t>
      </w:r>
    </w:p>
    <w:p>
      <w:pPr>
        <w:adjustRightInd w:val="0"/>
        <w:snapToGrid w:val="0"/>
        <w:spacing w:line="600" w:lineRule="exact"/>
        <w:ind w:firstLine="640"/>
        <w:rPr>
          <w:rFonts w:eastAsia="仿宋_GB2312"/>
          <w:sz w:val="32"/>
          <w:szCs w:val="32"/>
        </w:rPr>
      </w:pPr>
      <w:r>
        <w:rPr>
          <w:rFonts w:eastAsia="仿宋_GB2312"/>
          <w:sz w:val="32"/>
          <w:szCs w:val="32"/>
        </w:rPr>
        <w:t>香河县地处燕山山脉南麓，是由冲击平原过渡的交界地带，系北温带大陆性季风气候，四季分明，秋短夏长，冷暖干湿变化较大。多年平均气温11.6</w:t>
      </w:r>
      <w:r>
        <w:rPr>
          <w:sz w:val="32"/>
          <w:szCs w:val="32"/>
        </w:rPr>
        <w:t>℃</w:t>
      </w:r>
      <w:r>
        <w:rPr>
          <w:rFonts w:eastAsia="仿宋_GB2312"/>
          <w:sz w:val="32"/>
          <w:szCs w:val="32"/>
        </w:rPr>
        <w:t>，年极端最高温40.7</w:t>
      </w:r>
      <w:r>
        <w:rPr>
          <w:sz w:val="32"/>
          <w:szCs w:val="32"/>
        </w:rPr>
        <w:t>℃</w:t>
      </w:r>
      <w:r>
        <w:rPr>
          <w:rFonts w:eastAsia="仿宋_GB2312"/>
          <w:sz w:val="32"/>
          <w:szCs w:val="32"/>
        </w:rPr>
        <w:t>，年极端最低温-27.4</w:t>
      </w:r>
      <w:r>
        <w:rPr>
          <w:sz w:val="32"/>
          <w:szCs w:val="32"/>
        </w:rPr>
        <w:t>℃</w:t>
      </w:r>
      <w:r>
        <w:rPr>
          <w:rFonts w:eastAsia="仿宋_GB2312"/>
          <w:sz w:val="32"/>
          <w:szCs w:val="32"/>
        </w:rPr>
        <w:t>。全年土壤冻结期115天，最大稳定冻土深度69cm。年平均降水量580.9厘米，集中于夏季，且年际变化大。年均日照时数2674小时，占可照时数的60%，太阳年总辐射128.7卡/平方厘米，年均风速2.2米/秒，无霜期是206天。</w:t>
      </w:r>
    </w:p>
    <w:p>
      <w:pPr>
        <w:pStyle w:val="3"/>
        <w:spacing w:line="600" w:lineRule="exact"/>
        <w:ind w:left="643" w:firstLine="0" w:firstLineChars="0"/>
        <w:rPr>
          <w:rFonts w:eastAsia="楷体_GB2312"/>
        </w:rPr>
      </w:pPr>
      <w:bookmarkStart w:id="243" w:name="_Toc445052289"/>
      <w:bookmarkStart w:id="244" w:name="_Toc446527274"/>
      <w:bookmarkStart w:id="245" w:name="_Toc460596319"/>
      <w:bookmarkStart w:id="246" w:name="_Toc28680"/>
      <w:bookmarkStart w:id="247" w:name="_Toc9231"/>
      <w:bookmarkStart w:id="248" w:name="_Toc5724"/>
      <w:bookmarkStart w:id="249" w:name="_Toc27131"/>
      <w:bookmarkStart w:id="250" w:name="_Toc23784065"/>
      <w:r>
        <w:rPr>
          <w:rFonts w:eastAsia="楷体_GB2312"/>
        </w:rPr>
        <w:t>2.5水文水资源</w:t>
      </w:r>
      <w:bookmarkEnd w:id="243"/>
      <w:bookmarkEnd w:id="244"/>
      <w:bookmarkEnd w:id="245"/>
      <w:bookmarkEnd w:id="246"/>
      <w:bookmarkEnd w:id="247"/>
      <w:bookmarkEnd w:id="248"/>
      <w:bookmarkEnd w:id="249"/>
      <w:bookmarkEnd w:id="250"/>
      <w:bookmarkStart w:id="251" w:name="_Toc445052290"/>
      <w:bookmarkStart w:id="252" w:name="_Toc446527275"/>
      <w:bookmarkStart w:id="253" w:name="_Toc460596320"/>
      <w:bookmarkStart w:id="254" w:name="_Toc13256"/>
      <w:bookmarkStart w:id="255" w:name="_Toc17577"/>
      <w:bookmarkStart w:id="256" w:name="_Toc1583"/>
      <w:bookmarkStart w:id="257" w:name="_Toc7778"/>
    </w:p>
    <w:p>
      <w:pPr>
        <w:pStyle w:val="4"/>
        <w:spacing w:line="600" w:lineRule="exact"/>
        <w:ind w:firstLine="643"/>
      </w:pPr>
      <w:bookmarkStart w:id="258" w:name="_Toc23784066"/>
      <w:r>
        <w:t>2.5.1水文状况</w:t>
      </w:r>
      <w:bookmarkEnd w:id="251"/>
      <w:bookmarkEnd w:id="252"/>
      <w:bookmarkEnd w:id="253"/>
      <w:bookmarkEnd w:id="254"/>
      <w:bookmarkEnd w:id="255"/>
      <w:bookmarkEnd w:id="256"/>
      <w:bookmarkEnd w:id="257"/>
      <w:bookmarkEnd w:id="258"/>
    </w:p>
    <w:p>
      <w:pPr>
        <w:adjustRightInd w:val="0"/>
        <w:snapToGrid w:val="0"/>
        <w:spacing w:line="600" w:lineRule="exact"/>
        <w:ind w:firstLine="640"/>
        <w:rPr>
          <w:rFonts w:eastAsia="仿宋_GB2312"/>
          <w:sz w:val="32"/>
          <w:szCs w:val="32"/>
        </w:rPr>
      </w:pPr>
      <w:r>
        <w:rPr>
          <w:rFonts w:eastAsia="仿宋_GB2312"/>
          <w:sz w:val="32"/>
          <w:szCs w:val="32"/>
        </w:rPr>
        <w:t>2014年，潮白河年径流量为23591万立方米，占全市年总径流量的29.7%，其径流量主要集中在8、12两个月中，占年径流量的49.3%，而2、9、10三个月基本不产生径流。</w:t>
      </w:r>
    </w:p>
    <w:p>
      <w:pPr>
        <w:adjustRightInd w:val="0"/>
        <w:snapToGrid w:val="0"/>
        <w:spacing w:line="600" w:lineRule="exact"/>
        <w:ind w:firstLine="664"/>
        <w:rPr>
          <w:rFonts w:eastAsia="仿宋_GB2312"/>
          <w:spacing w:val="6"/>
          <w:sz w:val="32"/>
          <w:szCs w:val="32"/>
        </w:rPr>
      </w:pPr>
      <w:r>
        <w:rPr>
          <w:rFonts w:eastAsia="仿宋_GB2312"/>
          <w:spacing w:val="6"/>
          <w:sz w:val="32"/>
          <w:szCs w:val="32"/>
        </w:rPr>
        <w:t>潮白河汛期（6</w:t>
      </w:r>
      <w:r>
        <w:rPr>
          <w:rFonts w:hint="eastAsia" w:eastAsia="仿宋_GB2312"/>
          <w:spacing w:val="6"/>
          <w:sz w:val="32"/>
          <w:szCs w:val="32"/>
        </w:rPr>
        <w:t>—</w:t>
      </w:r>
      <w:r>
        <w:rPr>
          <w:rFonts w:eastAsia="仿宋_GB2312"/>
          <w:spacing w:val="6"/>
          <w:sz w:val="32"/>
          <w:szCs w:val="32"/>
        </w:rPr>
        <w:t>9月）径流量10614万</w:t>
      </w:r>
      <w:r>
        <w:rPr>
          <w:rFonts w:eastAsia="仿宋_GB2312"/>
          <w:sz w:val="32"/>
          <w:szCs w:val="32"/>
        </w:rPr>
        <w:t>立方米</w:t>
      </w:r>
      <w:r>
        <w:rPr>
          <w:rFonts w:eastAsia="仿宋_GB2312"/>
          <w:spacing w:val="6"/>
          <w:sz w:val="32"/>
          <w:szCs w:val="32"/>
        </w:rPr>
        <w:t>，占年径流量的45.0%，由于径流年际变化较大，不利于合理利用水资源，但由于径流并不过于集中，有利于蓄水并减轻丰水年除涝的负担。</w:t>
      </w:r>
    </w:p>
    <w:p>
      <w:pPr>
        <w:pStyle w:val="14"/>
        <w:autoSpaceDN w:val="0"/>
        <w:adjustRightInd w:val="0"/>
        <w:snapToGrid w:val="0"/>
        <w:spacing w:line="240" w:lineRule="auto"/>
        <w:ind w:firstLine="0" w:firstLineChars="0"/>
        <w:rPr>
          <w:rFonts w:hint="eastAsia"/>
        </w:rPr>
      </w:pPr>
      <w:r>
        <w:drawing>
          <wp:anchor distT="0" distB="0" distL="114300" distR="114300" simplePos="0" relativeHeight="251670528" behindDoc="0" locked="0" layoutInCell="1" allowOverlap="0">
            <wp:simplePos x="0" y="0"/>
            <wp:positionH relativeFrom="column">
              <wp:posOffset>152400</wp:posOffset>
            </wp:positionH>
            <wp:positionV relativeFrom="paragraph">
              <wp:posOffset>97790</wp:posOffset>
            </wp:positionV>
            <wp:extent cx="5257800" cy="2000250"/>
            <wp:effectExtent l="0" t="0" r="0" b="0"/>
            <wp:wrapNone/>
            <wp:docPr id="119" name="图表 2"/>
            <wp:cNvGraphicFramePr/>
            <a:graphic xmlns:a="http://schemas.openxmlformats.org/drawingml/2006/main">
              <a:graphicData uri="http://schemas.openxmlformats.org/drawingml/2006/picture">
                <pic:pic xmlns:pic="http://schemas.openxmlformats.org/drawingml/2006/picture">
                  <pic:nvPicPr>
                    <pic:cNvPr id="119" name="图表 2"/>
                    <pic:cNvPicPr/>
                  </pic:nvPicPr>
                  <pic:blipFill>
                    <a:blip r:embed="rId45"/>
                    <a:srcRect l="-5391" t="-3709" r="-3337" b="-9348"/>
                    <a:stretch>
                      <a:fillRect/>
                    </a:stretch>
                  </pic:blipFill>
                  <pic:spPr>
                    <a:xfrm>
                      <a:off x="0" y="0"/>
                      <a:ext cx="5257800" cy="2000250"/>
                    </a:xfrm>
                    <a:prstGeom prst="rect">
                      <a:avLst/>
                    </a:prstGeom>
                    <a:noFill/>
                    <a:ln w="9525">
                      <a:noFill/>
                    </a:ln>
                  </pic:spPr>
                </pic:pic>
              </a:graphicData>
            </a:graphic>
          </wp:anchor>
        </w:drawing>
      </w:r>
    </w:p>
    <w:p>
      <w:pPr>
        <w:pStyle w:val="14"/>
        <w:autoSpaceDN w:val="0"/>
        <w:adjustRightInd w:val="0"/>
        <w:snapToGrid w:val="0"/>
        <w:spacing w:line="240" w:lineRule="auto"/>
        <w:ind w:firstLine="0" w:firstLineChars="0"/>
        <w:rPr>
          <w:rFonts w:hint="eastAsia"/>
        </w:rPr>
      </w:pPr>
    </w:p>
    <w:p>
      <w:pPr>
        <w:pStyle w:val="14"/>
        <w:autoSpaceDN w:val="0"/>
        <w:adjustRightInd w:val="0"/>
        <w:snapToGrid w:val="0"/>
        <w:spacing w:line="240" w:lineRule="auto"/>
        <w:ind w:firstLine="0" w:firstLineChars="0"/>
        <w:rPr>
          <w:rFonts w:hint="eastAsia"/>
        </w:rPr>
      </w:pPr>
    </w:p>
    <w:p>
      <w:pPr>
        <w:pStyle w:val="14"/>
        <w:autoSpaceDN w:val="0"/>
        <w:adjustRightInd w:val="0"/>
        <w:snapToGrid w:val="0"/>
        <w:spacing w:line="240" w:lineRule="auto"/>
        <w:ind w:firstLine="0" w:firstLineChars="0"/>
        <w:rPr>
          <w:rFonts w:hint="eastAsia"/>
        </w:rPr>
      </w:pPr>
    </w:p>
    <w:p>
      <w:pPr>
        <w:pStyle w:val="14"/>
        <w:autoSpaceDN w:val="0"/>
        <w:adjustRightInd w:val="0"/>
        <w:snapToGrid w:val="0"/>
        <w:spacing w:line="240" w:lineRule="auto"/>
        <w:ind w:firstLine="0" w:firstLineChars="0"/>
        <w:rPr>
          <w:rFonts w:hint="eastAsia"/>
        </w:rPr>
      </w:pPr>
    </w:p>
    <w:p>
      <w:pPr>
        <w:pStyle w:val="14"/>
        <w:autoSpaceDN w:val="0"/>
        <w:adjustRightInd w:val="0"/>
        <w:snapToGrid w:val="0"/>
        <w:spacing w:line="240" w:lineRule="auto"/>
        <w:ind w:firstLine="0" w:firstLineChars="0"/>
        <w:rPr>
          <w:rFonts w:hint="eastAsia"/>
        </w:rPr>
      </w:pPr>
    </w:p>
    <w:p>
      <w:pPr>
        <w:pStyle w:val="14"/>
        <w:autoSpaceDN w:val="0"/>
        <w:adjustRightInd w:val="0"/>
        <w:snapToGrid w:val="0"/>
        <w:spacing w:line="240" w:lineRule="auto"/>
        <w:ind w:firstLine="0" w:firstLineChars="0"/>
        <w:rPr>
          <w:rFonts w:hint="eastAsia"/>
        </w:rPr>
      </w:pPr>
    </w:p>
    <w:p>
      <w:pPr>
        <w:pStyle w:val="14"/>
        <w:autoSpaceDN w:val="0"/>
        <w:adjustRightInd w:val="0"/>
        <w:snapToGrid w:val="0"/>
        <w:spacing w:line="240" w:lineRule="auto"/>
        <w:ind w:firstLine="0" w:firstLineChars="0"/>
        <w:rPr>
          <w:rFonts w:hint="eastAsia"/>
        </w:rPr>
      </w:pPr>
    </w:p>
    <w:p>
      <w:pPr>
        <w:pStyle w:val="14"/>
        <w:autoSpaceDN w:val="0"/>
        <w:adjustRightInd w:val="0"/>
        <w:snapToGrid w:val="0"/>
        <w:spacing w:line="240" w:lineRule="auto"/>
        <w:ind w:firstLine="0" w:firstLineChars="0"/>
        <w:rPr>
          <w:rFonts w:hint="eastAsia"/>
        </w:rPr>
      </w:pPr>
    </w:p>
    <w:p>
      <w:pPr>
        <w:pStyle w:val="14"/>
        <w:autoSpaceDN w:val="0"/>
        <w:adjustRightInd w:val="0"/>
        <w:snapToGrid w:val="0"/>
        <w:spacing w:line="240" w:lineRule="auto"/>
        <w:ind w:firstLine="0" w:firstLineChars="0"/>
        <w:rPr>
          <w:rFonts w:hint="eastAsia"/>
        </w:rPr>
      </w:pPr>
    </w:p>
    <w:p>
      <w:pPr>
        <w:pStyle w:val="14"/>
        <w:autoSpaceDN w:val="0"/>
        <w:adjustRightInd w:val="0"/>
        <w:snapToGrid w:val="0"/>
        <w:spacing w:line="240" w:lineRule="auto"/>
        <w:ind w:firstLine="0" w:firstLineChars="0"/>
        <w:rPr>
          <w:rFonts w:hint="eastAsia"/>
        </w:rPr>
      </w:pPr>
    </w:p>
    <w:p>
      <w:pPr>
        <w:spacing w:before="163" w:beforeLines="50" w:after="163" w:afterLines="50" w:line="240" w:lineRule="auto"/>
        <w:ind w:firstLine="0" w:firstLineChars="0"/>
        <w:jc w:val="center"/>
        <w:rPr>
          <w:rFonts w:eastAsia="仿宋_GB2312"/>
          <w:b/>
          <w:szCs w:val="32"/>
        </w:rPr>
      </w:pPr>
      <w:r>
        <w:rPr>
          <w:rFonts w:eastAsia="仿宋_GB2312"/>
          <w:b/>
          <w:szCs w:val="32"/>
        </w:rPr>
        <w:t>图2</w:t>
      </w:r>
      <w:r>
        <w:rPr>
          <w:rFonts w:hint="eastAsia" w:eastAsia="仿宋_GB2312" w:cs="Times New Roman"/>
          <w:b/>
        </w:rPr>
        <w:t>-</w:t>
      </w:r>
      <w:r>
        <w:rPr>
          <w:rFonts w:eastAsia="仿宋_GB2312"/>
          <w:b/>
          <w:szCs w:val="32"/>
        </w:rPr>
        <w:t>5　潮白河径流量（2014年）</w:t>
      </w:r>
    </w:p>
    <w:p>
      <w:pPr>
        <w:pStyle w:val="4"/>
        <w:ind w:firstLine="643"/>
      </w:pPr>
      <w:bookmarkStart w:id="259" w:name="_Toc446527276"/>
      <w:bookmarkStart w:id="260" w:name="_Toc460596321"/>
      <w:bookmarkStart w:id="261" w:name="_Toc1200"/>
      <w:bookmarkStart w:id="262" w:name="_Toc19708"/>
      <w:bookmarkStart w:id="263" w:name="_Toc2386"/>
      <w:bookmarkStart w:id="264" w:name="_Toc2952"/>
      <w:bookmarkStart w:id="265" w:name="_Toc23784067"/>
      <w:bookmarkStart w:id="266" w:name="_Toc445052291"/>
      <w:r>
        <w:t>2.5.2水资源状况</w:t>
      </w:r>
      <w:bookmarkEnd w:id="259"/>
      <w:bookmarkEnd w:id="260"/>
      <w:bookmarkEnd w:id="261"/>
      <w:bookmarkEnd w:id="262"/>
      <w:bookmarkEnd w:id="263"/>
      <w:bookmarkEnd w:id="264"/>
      <w:bookmarkEnd w:id="265"/>
      <w:bookmarkEnd w:id="266"/>
    </w:p>
    <w:p>
      <w:pPr>
        <w:spacing w:line="550" w:lineRule="exact"/>
        <w:ind w:firstLine="640"/>
        <w:jc w:val="left"/>
        <w:rPr>
          <w:rFonts w:eastAsia="仿宋_GB2312"/>
          <w:sz w:val="32"/>
          <w:szCs w:val="32"/>
        </w:rPr>
      </w:pPr>
      <w:r>
        <w:rPr>
          <w:rFonts w:eastAsia="仿宋_GB2312"/>
          <w:sz w:val="32"/>
          <w:szCs w:val="32"/>
        </w:rPr>
        <w:t>廊坊市的平均降水量为380.4毫米，三河市、大厂县、香河县的平均降水量分别居廊坊市第一、二、三位，多年平均降水量在600毫米左右。</w:t>
      </w:r>
    </w:p>
    <w:p>
      <w:pPr>
        <w:spacing w:line="550" w:lineRule="exact"/>
        <w:ind w:firstLine="640"/>
        <w:rPr>
          <w:rFonts w:eastAsia="仿宋_GB2312"/>
          <w:sz w:val="32"/>
          <w:szCs w:val="32"/>
        </w:rPr>
      </w:pPr>
      <w:r>
        <w:rPr>
          <w:rFonts w:eastAsia="仿宋_GB2312"/>
          <w:sz w:val="32"/>
          <w:szCs w:val="32"/>
        </w:rPr>
        <w:t>2014年，三河市、大厂县、香河县降水量为400</w:t>
      </w:r>
      <w:r>
        <w:rPr>
          <w:rFonts w:hint="eastAsia" w:eastAsia="仿宋_GB2312"/>
          <w:sz w:val="32"/>
          <w:szCs w:val="32"/>
        </w:rPr>
        <w:t>—</w:t>
      </w:r>
      <w:r>
        <w:rPr>
          <w:rFonts w:eastAsia="仿宋_GB2312"/>
          <w:sz w:val="32"/>
          <w:szCs w:val="32"/>
        </w:rPr>
        <w:t>500毫米，与多年平均值比较，大厂偏少30.0%</w:t>
      </w:r>
      <w:r>
        <w:rPr>
          <w:rFonts w:hint="eastAsia" w:eastAsia="仿宋_GB2312"/>
          <w:sz w:val="32"/>
          <w:szCs w:val="32"/>
        </w:rPr>
        <w:t>~</w:t>
      </w:r>
      <w:r>
        <w:rPr>
          <w:rFonts w:eastAsia="仿宋_GB2312"/>
          <w:sz w:val="32"/>
          <w:szCs w:val="32"/>
        </w:rPr>
        <w:t>41.0%，香河偏少20.0%</w:t>
      </w:r>
      <w:r>
        <w:rPr>
          <w:rFonts w:hint="eastAsia" w:eastAsia="仿宋_GB2312"/>
          <w:sz w:val="32"/>
          <w:szCs w:val="32"/>
        </w:rPr>
        <w:t>~</w:t>
      </w:r>
      <w:r>
        <w:rPr>
          <w:rFonts w:eastAsia="仿宋_GB2312"/>
          <w:sz w:val="32"/>
          <w:szCs w:val="32"/>
        </w:rPr>
        <w:t>30.0%，均属枯水年份。降水主要集中在6</w:t>
      </w:r>
      <w:r>
        <w:rPr>
          <w:rFonts w:hint="eastAsia" w:eastAsia="仿宋_GB2312"/>
          <w:sz w:val="32"/>
          <w:szCs w:val="32"/>
        </w:rPr>
        <w:t>—</w:t>
      </w:r>
      <w:r>
        <w:rPr>
          <w:rFonts w:eastAsia="仿宋_GB2312"/>
          <w:sz w:val="32"/>
          <w:szCs w:val="32"/>
        </w:rPr>
        <w:t>9月，降水量占年降水量的80%。</w:t>
      </w:r>
    </w:p>
    <w:p>
      <w:pPr>
        <w:spacing w:line="240" w:lineRule="auto"/>
        <w:ind w:firstLine="0" w:firstLineChars="0"/>
        <w:jc w:val="center"/>
      </w:pPr>
      <w:r>
        <w:drawing>
          <wp:inline distT="0" distB="0" distL="114300" distR="114300">
            <wp:extent cx="5186045" cy="2083435"/>
            <wp:effectExtent l="0" t="0" r="14605" b="12065"/>
            <wp:docPr id="12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85"/>
                    <pic:cNvPicPr>
                      <a:picLocks noChangeAspect="1"/>
                    </pic:cNvPicPr>
                  </pic:nvPicPr>
                  <pic:blipFill>
                    <a:blip r:embed="rId46"/>
                    <a:stretch>
                      <a:fillRect/>
                    </a:stretch>
                  </pic:blipFill>
                  <pic:spPr>
                    <a:xfrm>
                      <a:off x="0" y="0"/>
                      <a:ext cx="5186045" cy="2083435"/>
                    </a:xfrm>
                    <a:prstGeom prst="rect">
                      <a:avLst/>
                    </a:prstGeom>
                    <a:noFill/>
                    <a:ln w="9525">
                      <a:noFill/>
                    </a:ln>
                  </pic:spPr>
                </pic:pic>
              </a:graphicData>
            </a:graphic>
          </wp:inline>
        </w:drawing>
      </w:r>
    </w:p>
    <w:p>
      <w:pPr>
        <w:pStyle w:val="14"/>
        <w:autoSpaceDN w:val="0"/>
        <w:adjustRightInd w:val="0"/>
        <w:snapToGrid w:val="0"/>
        <w:spacing w:before="163" w:beforeLines="50" w:after="163" w:afterLines="50" w:line="240" w:lineRule="auto"/>
        <w:ind w:firstLine="0" w:firstLineChars="0"/>
        <w:jc w:val="center"/>
        <w:rPr>
          <w:rFonts w:hint="eastAsia" w:eastAsia="仿宋_GB2312"/>
          <w:b/>
          <w:spacing w:val="-8"/>
          <w:w w:val="96"/>
          <w:szCs w:val="32"/>
        </w:rPr>
      </w:pPr>
      <w:r>
        <w:rPr>
          <w:rFonts w:eastAsia="仿宋_GB2312"/>
          <w:b/>
          <w:spacing w:val="-8"/>
          <w:w w:val="96"/>
          <w:szCs w:val="32"/>
        </w:rPr>
        <w:t>图2</w:t>
      </w:r>
      <w:r>
        <w:rPr>
          <w:rFonts w:ascii="Times New Roman" w:hAnsi="Times New Roman" w:eastAsia="仿宋_GB2312"/>
          <w:b/>
          <w:szCs w:val="24"/>
        </w:rPr>
        <w:t>-</w:t>
      </w:r>
      <w:r>
        <w:rPr>
          <w:rFonts w:eastAsia="仿宋_GB2312"/>
          <w:b/>
          <w:spacing w:val="-8"/>
          <w:w w:val="96"/>
          <w:szCs w:val="32"/>
        </w:rPr>
        <w:t>6　廊坊市各区县降水量比较图（2013年、2014年、多年平均）</w:t>
      </w:r>
    </w:p>
    <w:p>
      <w:pPr>
        <w:pStyle w:val="14"/>
        <w:autoSpaceDN w:val="0"/>
        <w:adjustRightInd w:val="0"/>
        <w:snapToGrid w:val="0"/>
        <w:spacing w:line="240" w:lineRule="auto"/>
        <w:ind w:firstLine="0" w:firstLineChars="0"/>
        <w:rPr>
          <w:rFonts w:hint="eastAsia"/>
        </w:rPr>
      </w:pPr>
      <w:r>
        <w:drawing>
          <wp:inline distT="0" distB="0" distL="114300" distR="114300">
            <wp:extent cx="5233035" cy="2437130"/>
            <wp:effectExtent l="0" t="0" r="5715" b="1270"/>
            <wp:docPr id="121"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86"/>
                    <pic:cNvPicPr>
                      <a:picLocks noChangeAspect="1"/>
                    </pic:cNvPicPr>
                  </pic:nvPicPr>
                  <pic:blipFill>
                    <a:blip r:embed="rId47"/>
                    <a:stretch>
                      <a:fillRect/>
                    </a:stretch>
                  </pic:blipFill>
                  <pic:spPr>
                    <a:xfrm>
                      <a:off x="0" y="0"/>
                      <a:ext cx="5233035" cy="2437130"/>
                    </a:xfrm>
                    <a:prstGeom prst="rect">
                      <a:avLst/>
                    </a:prstGeom>
                    <a:noFill/>
                    <a:ln w="9525">
                      <a:noFill/>
                    </a:ln>
                  </pic:spPr>
                </pic:pic>
              </a:graphicData>
            </a:graphic>
          </wp:inline>
        </w:drawing>
      </w:r>
    </w:p>
    <w:p>
      <w:pPr>
        <w:spacing w:before="163" w:beforeLines="50" w:after="163" w:afterLines="50" w:line="240" w:lineRule="auto"/>
        <w:ind w:firstLine="0" w:firstLineChars="0"/>
        <w:jc w:val="center"/>
        <w:rPr>
          <w:rFonts w:eastAsia="仿宋_GB2312"/>
          <w:szCs w:val="32"/>
        </w:rPr>
      </w:pPr>
      <w:r>
        <w:rPr>
          <w:rFonts w:eastAsia="仿宋_GB2312"/>
          <w:b/>
          <w:szCs w:val="32"/>
        </w:rPr>
        <w:t>图2</w:t>
      </w:r>
      <w:r>
        <w:rPr>
          <w:rFonts w:hint="eastAsia" w:eastAsia="仿宋_GB2312" w:cs="Times New Roman"/>
          <w:b/>
        </w:rPr>
        <w:t>-</w:t>
      </w:r>
      <w:r>
        <w:rPr>
          <w:rFonts w:eastAsia="仿宋_GB2312"/>
          <w:b/>
          <w:szCs w:val="32"/>
        </w:rPr>
        <w:t>7　廊坊市北三县代表站降水量年内分配图（2014年）</w:t>
      </w:r>
    </w:p>
    <w:p>
      <w:pPr>
        <w:spacing w:line="550" w:lineRule="exact"/>
        <w:ind w:firstLine="640"/>
        <w:rPr>
          <w:rFonts w:hint="eastAsia" w:eastAsia="仿宋_GB2312"/>
          <w:spacing w:val="-4"/>
          <w:sz w:val="32"/>
          <w:szCs w:val="32"/>
        </w:rPr>
      </w:pPr>
      <w:r>
        <w:rPr>
          <w:rFonts w:eastAsia="仿宋_GB2312"/>
          <w:sz w:val="32"/>
          <w:szCs w:val="32"/>
        </w:rPr>
        <w:t>2014年廊坊市的地表水资源总量为1672万立方米。其中，大厂县地表水资源为47万立方米，占总量的2.8%，径流深为2.6毫米，与多年平均地表水资源量相比，偏少95%，属于枯水季。香河县的地表水资源为135万立方米，占总量的8.1%，径流深为2.9毫米，与多年平均地表水资源量相比，偏少94%，同样属于枯水季。相较于廊坊市的其他县（市），大厂县、香河县的地表水资源处于一个较低的水平。其中，大厂的地表水资源最少。</w:t>
      </w:r>
    </w:p>
    <w:p>
      <w:pPr>
        <w:pStyle w:val="14"/>
        <w:autoSpaceDN w:val="0"/>
        <w:adjustRightInd w:val="0"/>
        <w:snapToGrid w:val="0"/>
        <w:spacing w:line="240" w:lineRule="auto"/>
        <w:ind w:firstLine="0" w:firstLineChars="0"/>
        <w:jc w:val="center"/>
        <w:rPr>
          <w:rFonts w:hint="eastAsia"/>
        </w:rPr>
      </w:pPr>
      <w:r>
        <w:drawing>
          <wp:inline distT="0" distB="0" distL="114300" distR="114300">
            <wp:extent cx="4258310" cy="1880870"/>
            <wp:effectExtent l="0" t="0" r="8890" b="5080"/>
            <wp:docPr id="12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87"/>
                    <pic:cNvPicPr>
                      <a:picLocks noChangeAspect="1"/>
                    </pic:cNvPicPr>
                  </pic:nvPicPr>
                  <pic:blipFill>
                    <a:blip r:embed="rId48"/>
                    <a:stretch>
                      <a:fillRect/>
                    </a:stretch>
                  </pic:blipFill>
                  <pic:spPr>
                    <a:xfrm>
                      <a:off x="0" y="0"/>
                      <a:ext cx="4258310" cy="1880870"/>
                    </a:xfrm>
                    <a:prstGeom prst="rect">
                      <a:avLst/>
                    </a:prstGeom>
                    <a:noFill/>
                    <a:ln w="9525">
                      <a:noFill/>
                    </a:ln>
                  </pic:spPr>
                </pic:pic>
              </a:graphicData>
            </a:graphic>
          </wp:inline>
        </w:drawing>
      </w:r>
    </w:p>
    <w:p>
      <w:pPr>
        <w:spacing w:before="163" w:beforeLines="50" w:after="163" w:afterLines="50" w:line="240" w:lineRule="auto"/>
        <w:ind w:firstLine="0" w:firstLineChars="0"/>
        <w:jc w:val="center"/>
        <w:rPr>
          <w:rFonts w:eastAsia="仿宋_GB2312"/>
          <w:szCs w:val="32"/>
        </w:rPr>
      </w:pPr>
      <w:r>
        <w:rPr>
          <w:rFonts w:eastAsia="仿宋_GB2312"/>
          <w:b/>
          <w:szCs w:val="32"/>
        </w:rPr>
        <w:t>图2</w:t>
      </w:r>
      <w:r>
        <w:rPr>
          <w:rFonts w:hint="eastAsia" w:eastAsia="仿宋_GB2312" w:cs="Times New Roman"/>
          <w:b/>
        </w:rPr>
        <w:t>-</w:t>
      </w:r>
      <w:r>
        <w:rPr>
          <w:rFonts w:eastAsia="仿宋_GB2312"/>
          <w:b/>
          <w:szCs w:val="32"/>
        </w:rPr>
        <w:t>8　廊坊市地表水资源柱状图（2014年）</w:t>
      </w:r>
    </w:p>
    <w:p>
      <w:pPr>
        <w:spacing w:line="560" w:lineRule="exact"/>
        <w:ind w:firstLine="640"/>
        <w:jc w:val="left"/>
        <w:rPr>
          <w:rFonts w:eastAsia="仿宋_GB2312"/>
          <w:sz w:val="32"/>
          <w:szCs w:val="32"/>
        </w:rPr>
      </w:pPr>
      <w:r>
        <w:rPr>
          <w:rFonts w:eastAsia="仿宋_GB2312"/>
          <w:sz w:val="32"/>
          <w:szCs w:val="32"/>
        </w:rPr>
        <w:t>三河市、大厂县、香河县水资源中，地下水资源占总量的绝大部分，分别占总量的96.1%、96.3%、96.0%。</w:t>
      </w:r>
    </w:p>
    <w:p>
      <w:pPr>
        <w:pStyle w:val="14"/>
        <w:autoSpaceDN w:val="0"/>
        <w:adjustRightInd w:val="0"/>
        <w:snapToGrid w:val="0"/>
        <w:spacing w:before="163" w:beforeLines="50" w:after="163" w:afterLines="50" w:line="240" w:lineRule="auto"/>
        <w:ind w:firstLine="0" w:firstLineChars="0"/>
        <w:jc w:val="center"/>
        <w:rPr>
          <w:rFonts w:ascii="Times New Roman" w:hAnsi="Times New Roman" w:eastAsia="黑体"/>
        </w:rPr>
      </w:pPr>
      <w:r>
        <w:rPr>
          <w:rFonts w:ascii="Times New Roman" w:hAnsi="黑体" w:eastAsia="黑体"/>
          <w:sz w:val="32"/>
          <w:szCs w:val="32"/>
        </w:rPr>
        <w:t>表</w:t>
      </w:r>
      <w:r>
        <w:rPr>
          <w:rFonts w:ascii="Times New Roman" w:hAnsi="Times New Roman" w:eastAsia="黑体"/>
          <w:b/>
          <w:sz w:val="32"/>
          <w:szCs w:val="32"/>
        </w:rPr>
        <w:t>2</w:t>
      </w:r>
      <w:r>
        <w:rPr>
          <w:rFonts w:ascii="Times New Roman" w:hAnsi="Times New Roman" w:eastAsia="仿宋"/>
          <w:sz w:val="32"/>
          <w:szCs w:val="32"/>
        </w:rPr>
        <w:t>-</w:t>
      </w:r>
      <w:r>
        <w:rPr>
          <w:rFonts w:ascii="Times New Roman" w:hAnsi="Times New Roman" w:eastAsia="黑体"/>
          <w:b/>
          <w:sz w:val="32"/>
          <w:szCs w:val="32"/>
        </w:rPr>
        <w:t>1</w:t>
      </w:r>
      <w:r>
        <w:rPr>
          <w:rFonts w:ascii="Times New Roman" w:hAnsi="黑体" w:eastAsia="黑体"/>
          <w:sz w:val="32"/>
          <w:szCs w:val="32"/>
        </w:rPr>
        <w:t>　地表水与地下水水资源量（</w:t>
      </w:r>
      <w:r>
        <w:rPr>
          <w:rFonts w:ascii="Times New Roman" w:hAnsi="Times New Roman" w:eastAsia="黑体"/>
          <w:sz w:val="32"/>
          <w:szCs w:val="32"/>
        </w:rPr>
        <w:t>2014</w:t>
      </w:r>
      <w:r>
        <w:rPr>
          <w:rFonts w:ascii="Times New Roman" w:hAnsi="黑体" w:eastAsia="黑体"/>
          <w:sz w:val="32"/>
          <w:szCs w:val="32"/>
        </w:rPr>
        <w:t>年，单位：万</w:t>
      </w:r>
      <w:r>
        <w:rPr>
          <w:rFonts w:ascii="Times New Roman" w:hAnsi="Times New Roman" w:eastAsia="黑体"/>
          <w:sz w:val="32"/>
          <w:szCs w:val="32"/>
        </w:rPr>
        <w:t>m</w:t>
      </w:r>
      <w:r>
        <w:rPr>
          <w:rFonts w:ascii="Times New Roman" w:hAnsi="Times New Roman" w:eastAsia="黑体"/>
          <w:sz w:val="32"/>
          <w:szCs w:val="32"/>
          <w:vertAlign w:val="superscript"/>
        </w:rPr>
        <w:t>3</w:t>
      </w:r>
      <w:r>
        <w:rPr>
          <w:rFonts w:ascii="Times New Roman" w:hAnsi="黑体" w:eastAsia="黑体"/>
          <w:sz w:val="32"/>
          <w:szCs w:val="32"/>
        </w:rPr>
        <w:t>）</w:t>
      </w:r>
    </w:p>
    <w:tbl>
      <w:tblPr>
        <w:tblStyle w:val="13"/>
        <w:tblW w:w="8774" w:type="dxa"/>
        <w:tblInd w:w="7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1075"/>
        <w:gridCol w:w="1289"/>
        <w:gridCol w:w="1048"/>
        <w:gridCol w:w="859"/>
        <w:gridCol w:w="1237"/>
        <w:gridCol w:w="1052"/>
        <w:gridCol w:w="770"/>
        <w:gridCol w:w="1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136" w:hRule="atLeast"/>
        </w:trPr>
        <w:tc>
          <w:tcPr>
            <w:tcW w:w="1075" w:type="dxa"/>
            <w:vAlign w:val="center"/>
          </w:tcPr>
          <w:p>
            <w:pPr>
              <w:widowControl/>
              <w:spacing w:line="240" w:lineRule="auto"/>
              <w:ind w:firstLine="0" w:firstLineChars="0"/>
              <w:jc w:val="center"/>
              <w:rPr>
                <w:rFonts w:eastAsia="仿宋_GB2312"/>
                <w:b/>
                <w:color w:val="000000"/>
                <w:kern w:val="0"/>
                <w:sz w:val="21"/>
                <w:szCs w:val="24"/>
              </w:rPr>
            </w:pPr>
            <w:r>
              <w:rPr>
                <w:rFonts w:eastAsia="仿宋_GB2312"/>
                <w:b/>
                <w:color w:val="000000"/>
                <w:kern w:val="0"/>
                <w:sz w:val="21"/>
                <w:szCs w:val="24"/>
              </w:rPr>
              <w:t>行政区</w:t>
            </w:r>
          </w:p>
        </w:tc>
        <w:tc>
          <w:tcPr>
            <w:tcW w:w="1289" w:type="dxa"/>
            <w:vAlign w:val="center"/>
          </w:tcPr>
          <w:p>
            <w:pPr>
              <w:widowControl/>
              <w:snapToGrid w:val="0"/>
              <w:spacing w:line="240" w:lineRule="auto"/>
              <w:ind w:firstLine="0" w:firstLineChars="0"/>
              <w:jc w:val="center"/>
              <w:rPr>
                <w:rFonts w:eastAsia="仿宋_GB2312"/>
                <w:b/>
                <w:color w:val="000000"/>
                <w:kern w:val="0"/>
                <w:sz w:val="21"/>
                <w:szCs w:val="24"/>
              </w:rPr>
            </w:pPr>
            <w:r>
              <w:rPr>
                <w:rFonts w:eastAsia="仿宋_GB2312"/>
                <w:b/>
                <w:color w:val="000000"/>
                <w:kern w:val="0"/>
                <w:sz w:val="21"/>
                <w:szCs w:val="24"/>
              </w:rPr>
              <w:t>计算面积（km</w:t>
            </w:r>
            <w:r>
              <w:rPr>
                <w:rFonts w:eastAsia="仿宋_GB2312"/>
                <w:b/>
                <w:color w:val="000000"/>
                <w:kern w:val="0"/>
                <w:sz w:val="21"/>
                <w:szCs w:val="24"/>
                <w:vertAlign w:val="superscript"/>
              </w:rPr>
              <w:t>3</w:t>
            </w:r>
            <w:r>
              <w:rPr>
                <w:rFonts w:eastAsia="仿宋_GB2312"/>
                <w:b/>
                <w:color w:val="000000"/>
                <w:kern w:val="0"/>
                <w:sz w:val="21"/>
                <w:szCs w:val="24"/>
              </w:rPr>
              <w:t>）</w:t>
            </w:r>
          </w:p>
        </w:tc>
        <w:tc>
          <w:tcPr>
            <w:tcW w:w="1048" w:type="dxa"/>
            <w:vAlign w:val="center"/>
          </w:tcPr>
          <w:p>
            <w:pPr>
              <w:widowControl/>
              <w:snapToGrid w:val="0"/>
              <w:spacing w:line="240" w:lineRule="auto"/>
              <w:ind w:firstLine="0" w:firstLineChars="0"/>
              <w:jc w:val="center"/>
              <w:rPr>
                <w:rFonts w:eastAsia="仿宋_GB2312"/>
                <w:b/>
                <w:color w:val="000000"/>
                <w:kern w:val="0"/>
                <w:sz w:val="21"/>
                <w:szCs w:val="24"/>
              </w:rPr>
            </w:pPr>
            <w:r>
              <w:rPr>
                <w:rFonts w:eastAsia="仿宋_GB2312"/>
                <w:b/>
                <w:color w:val="000000"/>
                <w:kern w:val="0"/>
                <w:sz w:val="21"/>
                <w:szCs w:val="24"/>
              </w:rPr>
              <w:t>年降</w:t>
            </w:r>
          </w:p>
          <w:p>
            <w:pPr>
              <w:widowControl/>
              <w:snapToGrid w:val="0"/>
              <w:spacing w:line="240" w:lineRule="auto"/>
              <w:ind w:firstLine="0" w:firstLineChars="0"/>
              <w:jc w:val="center"/>
              <w:rPr>
                <w:rFonts w:eastAsia="仿宋_GB2312"/>
                <w:b/>
                <w:color w:val="000000"/>
                <w:kern w:val="0"/>
                <w:sz w:val="21"/>
                <w:szCs w:val="24"/>
              </w:rPr>
            </w:pPr>
            <w:r>
              <w:rPr>
                <w:rFonts w:eastAsia="仿宋_GB2312"/>
                <w:b/>
                <w:color w:val="000000"/>
                <w:kern w:val="0"/>
                <w:sz w:val="21"/>
                <w:szCs w:val="24"/>
              </w:rPr>
              <w:t>水量</w:t>
            </w:r>
          </w:p>
        </w:tc>
        <w:tc>
          <w:tcPr>
            <w:tcW w:w="859" w:type="dxa"/>
            <w:vAlign w:val="center"/>
          </w:tcPr>
          <w:p>
            <w:pPr>
              <w:widowControl/>
              <w:snapToGrid w:val="0"/>
              <w:spacing w:line="240" w:lineRule="auto"/>
              <w:ind w:firstLine="0" w:firstLineChars="0"/>
              <w:jc w:val="center"/>
              <w:rPr>
                <w:rFonts w:eastAsia="仿宋_GB2312"/>
                <w:b/>
                <w:color w:val="000000"/>
                <w:kern w:val="0"/>
                <w:sz w:val="21"/>
                <w:szCs w:val="24"/>
              </w:rPr>
            </w:pPr>
            <w:r>
              <w:rPr>
                <w:rFonts w:eastAsia="仿宋_GB2312"/>
                <w:b/>
                <w:color w:val="000000"/>
                <w:kern w:val="0"/>
                <w:sz w:val="21"/>
                <w:szCs w:val="24"/>
              </w:rPr>
              <w:t>地表</w:t>
            </w:r>
          </w:p>
          <w:p>
            <w:pPr>
              <w:widowControl/>
              <w:snapToGrid w:val="0"/>
              <w:spacing w:line="240" w:lineRule="auto"/>
              <w:ind w:firstLine="0" w:firstLineChars="0"/>
              <w:jc w:val="center"/>
              <w:rPr>
                <w:rFonts w:eastAsia="仿宋_GB2312"/>
                <w:b/>
                <w:color w:val="000000"/>
                <w:kern w:val="0"/>
                <w:sz w:val="21"/>
                <w:szCs w:val="24"/>
              </w:rPr>
            </w:pPr>
            <w:r>
              <w:rPr>
                <w:rFonts w:eastAsia="仿宋_GB2312"/>
                <w:b/>
                <w:color w:val="000000"/>
                <w:kern w:val="0"/>
                <w:sz w:val="21"/>
                <w:szCs w:val="24"/>
              </w:rPr>
              <w:t>水资源</w:t>
            </w:r>
          </w:p>
        </w:tc>
        <w:tc>
          <w:tcPr>
            <w:tcW w:w="1237" w:type="dxa"/>
            <w:vAlign w:val="center"/>
          </w:tcPr>
          <w:p>
            <w:pPr>
              <w:widowControl/>
              <w:snapToGrid w:val="0"/>
              <w:spacing w:line="240" w:lineRule="auto"/>
              <w:ind w:firstLine="0" w:firstLineChars="0"/>
              <w:jc w:val="center"/>
              <w:rPr>
                <w:rFonts w:eastAsia="仿宋_GB2312"/>
                <w:b/>
                <w:color w:val="000000"/>
                <w:kern w:val="0"/>
                <w:sz w:val="21"/>
                <w:szCs w:val="24"/>
              </w:rPr>
            </w:pPr>
            <w:r>
              <w:rPr>
                <w:rFonts w:eastAsia="仿宋_GB2312"/>
                <w:b/>
                <w:color w:val="000000"/>
                <w:kern w:val="0"/>
                <w:sz w:val="21"/>
                <w:szCs w:val="24"/>
              </w:rPr>
              <w:t>地下水</w:t>
            </w:r>
          </w:p>
          <w:p>
            <w:pPr>
              <w:widowControl/>
              <w:snapToGrid w:val="0"/>
              <w:spacing w:line="240" w:lineRule="auto"/>
              <w:ind w:firstLine="0" w:firstLineChars="0"/>
              <w:jc w:val="center"/>
              <w:rPr>
                <w:rFonts w:eastAsia="仿宋_GB2312"/>
                <w:b/>
                <w:color w:val="000000"/>
                <w:kern w:val="0"/>
                <w:sz w:val="21"/>
                <w:szCs w:val="24"/>
              </w:rPr>
            </w:pPr>
            <w:r>
              <w:rPr>
                <w:rFonts w:eastAsia="仿宋_GB2312"/>
                <w:b/>
                <w:color w:val="000000"/>
                <w:kern w:val="0"/>
                <w:sz w:val="21"/>
                <w:szCs w:val="24"/>
              </w:rPr>
              <w:t>资源</w:t>
            </w:r>
          </w:p>
        </w:tc>
        <w:tc>
          <w:tcPr>
            <w:tcW w:w="1052" w:type="dxa"/>
            <w:vAlign w:val="center"/>
          </w:tcPr>
          <w:p>
            <w:pPr>
              <w:widowControl/>
              <w:snapToGrid w:val="0"/>
              <w:spacing w:line="240" w:lineRule="auto"/>
              <w:ind w:firstLine="0" w:firstLineChars="0"/>
              <w:jc w:val="center"/>
              <w:rPr>
                <w:rFonts w:eastAsia="仿宋_GB2312"/>
                <w:b/>
                <w:color w:val="000000"/>
                <w:kern w:val="0"/>
                <w:sz w:val="21"/>
                <w:szCs w:val="24"/>
              </w:rPr>
            </w:pPr>
            <w:r>
              <w:rPr>
                <w:rFonts w:eastAsia="仿宋_GB2312"/>
                <w:b/>
                <w:color w:val="000000"/>
                <w:kern w:val="0"/>
                <w:sz w:val="21"/>
                <w:szCs w:val="24"/>
              </w:rPr>
              <w:t>水资源总量</w:t>
            </w:r>
          </w:p>
        </w:tc>
        <w:tc>
          <w:tcPr>
            <w:tcW w:w="770" w:type="dxa"/>
            <w:vAlign w:val="center"/>
          </w:tcPr>
          <w:p>
            <w:pPr>
              <w:widowControl/>
              <w:snapToGrid w:val="0"/>
              <w:spacing w:line="240" w:lineRule="auto"/>
              <w:ind w:firstLine="0" w:firstLineChars="0"/>
              <w:jc w:val="center"/>
              <w:rPr>
                <w:rFonts w:eastAsia="仿宋_GB2312"/>
                <w:b/>
                <w:color w:val="000000"/>
                <w:kern w:val="0"/>
                <w:sz w:val="21"/>
                <w:szCs w:val="24"/>
              </w:rPr>
            </w:pPr>
            <w:r>
              <w:rPr>
                <w:rFonts w:eastAsia="仿宋_GB2312"/>
                <w:b/>
                <w:color w:val="000000"/>
                <w:kern w:val="0"/>
                <w:sz w:val="21"/>
                <w:szCs w:val="24"/>
              </w:rPr>
              <w:t>产水系数</w:t>
            </w:r>
          </w:p>
        </w:tc>
        <w:tc>
          <w:tcPr>
            <w:tcW w:w="1444" w:type="dxa"/>
            <w:vAlign w:val="center"/>
          </w:tcPr>
          <w:p>
            <w:pPr>
              <w:widowControl/>
              <w:snapToGrid w:val="0"/>
              <w:spacing w:line="240" w:lineRule="auto"/>
              <w:ind w:firstLine="0" w:firstLineChars="0"/>
              <w:jc w:val="center"/>
              <w:rPr>
                <w:rFonts w:eastAsia="仿宋_GB2312"/>
                <w:b/>
                <w:color w:val="000000"/>
                <w:kern w:val="0"/>
                <w:sz w:val="21"/>
                <w:szCs w:val="24"/>
              </w:rPr>
            </w:pPr>
            <w:r>
              <w:rPr>
                <w:rFonts w:eastAsia="仿宋_GB2312"/>
                <w:b/>
                <w:color w:val="000000"/>
                <w:kern w:val="0"/>
                <w:sz w:val="21"/>
                <w:szCs w:val="24"/>
              </w:rPr>
              <w:t>产水模数</w:t>
            </w:r>
          </w:p>
          <w:p>
            <w:pPr>
              <w:widowControl/>
              <w:snapToGrid w:val="0"/>
              <w:spacing w:line="240" w:lineRule="auto"/>
              <w:ind w:firstLine="0" w:firstLineChars="0"/>
              <w:jc w:val="center"/>
              <w:rPr>
                <w:rFonts w:eastAsia="仿宋_GB2312"/>
                <w:b/>
                <w:color w:val="000000"/>
                <w:kern w:val="0"/>
                <w:sz w:val="21"/>
                <w:szCs w:val="24"/>
              </w:rPr>
            </w:pPr>
            <w:r>
              <w:rPr>
                <w:rFonts w:eastAsia="仿宋_GB2312"/>
                <w:b/>
                <w:color w:val="000000"/>
                <w:kern w:val="0"/>
                <w:sz w:val="21"/>
                <w:szCs w:val="24"/>
              </w:rPr>
              <w:t>（万m</w:t>
            </w:r>
            <w:r>
              <w:rPr>
                <w:rFonts w:eastAsia="仿宋_GB2312"/>
                <w:b/>
                <w:color w:val="000000"/>
                <w:kern w:val="0"/>
                <w:sz w:val="21"/>
                <w:szCs w:val="24"/>
                <w:vertAlign w:val="superscript"/>
              </w:rPr>
              <w:t>3</w:t>
            </w:r>
            <w:r>
              <w:rPr>
                <w:rFonts w:eastAsia="仿宋_GB2312"/>
                <w:b/>
                <w:color w:val="000000"/>
                <w:kern w:val="0"/>
                <w:sz w:val="21"/>
                <w:szCs w:val="24"/>
              </w:rPr>
              <w:t>/km</w:t>
            </w:r>
            <w:r>
              <w:rPr>
                <w:rFonts w:eastAsia="仿宋_GB2312"/>
                <w:b/>
                <w:color w:val="000000"/>
                <w:kern w:val="0"/>
                <w:sz w:val="21"/>
                <w:szCs w:val="24"/>
                <w:vertAlign w:val="superscript"/>
              </w:rPr>
              <w:t>2</w:t>
            </w:r>
            <w:r>
              <w:rPr>
                <w:rFonts w:eastAsia="仿宋_GB2312"/>
                <w:b/>
                <w:color w:val="000000"/>
                <w:kern w:val="0"/>
                <w:sz w:val="21"/>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666" w:hRule="exact"/>
        </w:trPr>
        <w:tc>
          <w:tcPr>
            <w:tcW w:w="1075"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三河市</w:t>
            </w:r>
          </w:p>
        </w:tc>
        <w:tc>
          <w:tcPr>
            <w:tcW w:w="1289"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643</w:t>
            </w:r>
          </w:p>
        </w:tc>
        <w:tc>
          <w:tcPr>
            <w:tcW w:w="1048"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32105</w:t>
            </w:r>
          </w:p>
        </w:tc>
        <w:tc>
          <w:tcPr>
            <w:tcW w:w="859"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268</w:t>
            </w:r>
          </w:p>
        </w:tc>
        <w:tc>
          <w:tcPr>
            <w:tcW w:w="1237"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6659</w:t>
            </w:r>
          </w:p>
        </w:tc>
        <w:tc>
          <w:tcPr>
            <w:tcW w:w="1052"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6927</w:t>
            </w:r>
          </w:p>
        </w:tc>
        <w:tc>
          <w:tcPr>
            <w:tcW w:w="770"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0.22</w:t>
            </w:r>
          </w:p>
        </w:tc>
        <w:tc>
          <w:tcPr>
            <w:tcW w:w="1444"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10.77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666" w:hRule="exact"/>
        </w:trPr>
        <w:tc>
          <w:tcPr>
            <w:tcW w:w="1075"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大厂县</w:t>
            </w:r>
          </w:p>
        </w:tc>
        <w:tc>
          <w:tcPr>
            <w:tcW w:w="1289"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176</w:t>
            </w:r>
          </w:p>
        </w:tc>
        <w:tc>
          <w:tcPr>
            <w:tcW w:w="1048"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7367</w:t>
            </w:r>
          </w:p>
        </w:tc>
        <w:tc>
          <w:tcPr>
            <w:tcW w:w="859"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47</w:t>
            </w:r>
          </w:p>
        </w:tc>
        <w:tc>
          <w:tcPr>
            <w:tcW w:w="1237"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1231</w:t>
            </w:r>
          </w:p>
        </w:tc>
        <w:tc>
          <w:tcPr>
            <w:tcW w:w="1052"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1278</w:t>
            </w:r>
          </w:p>
        </w:tc>
        <w:tc>
          <w:tcPr>
            <w:tcW w:w="770"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0.17</w:t>
            </w:r>
          </w:p>
        </w:tc>
        <w:tc>
          <w:tcPr>
            <w:tcW w:w="1444"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7.26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666" w:hRule="exact"/>
        </w:trPr>
        <w:tc>
          <w:tcPr>
            <w:tcW w:w="1075"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香河县</w:t>
            </w:r>
          </w:p>
        </w:tc>
        <w:tc>
          <w:tcPr>
            <w:tcW w:w="1289"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458</w:t>
            </w:r>
          </w:p>
        </w:tc>
        <w:tc>
          <w:tcPr>
            <w:tcW w:w="1048"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18558</w:t>
            </w:r>
          </w:p>
        </w:tc>
        <w:tc>
          <w:tcPr>
            <w:tcW w:w="859"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135</w:t>
            </w:r>
          </w:p>
        </w:tc>
        <w:tc>
          <w:tcPr>
            <w:tcW w:w="1237"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3252</w:t>
            </w:r>
          </w:p>
        </w:tc>
        <w:tc>
          <w:tcPr>
            <w:tcW w:w="1052"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3387</w:t>
            </w:r>
          </w:p>
        </w:tc>
        <w:tc>
          <w:tcPr>
            <w:tcW w:w="770"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0.18</w:t>
            </w:r>
          </w:p>
        </w:tc>
        <w:tc>
          <w:tcPr>
            <w:tcW w:w="1444" w:type="dxa"/>
            <w:vAlign w:val="center"/>
          </w:tcPr>
          <w:p>
            <w:pPr>
              <w:widowControl/>
              <w:spacing w:line="240" w:lineRule="auto"/>
              <w:ind w:firstLine="0" w:firstLineChars="0"/>
              <w:jc w:val="center"/>
              <w:rPr>
                <w:rFonts w:eastAsia="仿宋_GB2312"/>
                <w:color w:val="000000"/>
                <w:kern w:val="0"/>
                <w:sz w:val="21"/>
                <w:szCs w:val="24"/>
              </w:rPr>
            </w:pPr>
            <w:r>
              <w:rPr>
                <w:rFonts w:eastAsia="仿宋_GB2312"/>
                <w:color w:val="000000"/>
                <w:kern w:val="0"/>
                <w:sz w:val="21"/>
                <w:szCs w:val="24"/>
              </w:rPr>
              <w:t>7.39</w:t>
            </w:r>
          </w:p>
        </w:tc>
      </w:tr>
    </w:tbl>
    <w:p>
      <w:pPr>
        <w:spacing w:line="600" w:lineRule="exact"/>
        <w:ind w:firstLine="640"/>
        <w:rPr>
          <w:rFonts w:eastAsia="仿宋_GB2312"/>
          <w:sz w:val="32"/>
          <w:szCs w:val="32"/>
        </w:rPr>
      </w:pPr>
      <w:r>
        <w:rPr>
          <w:rFonts w:eastAsia="仿宋_GB2312"/>
          <w:sz w:val="32"/>
          <w:szCs w:val="32"/>
        </w:rPr>
        <w:t>2014年，廊坊市全市用水总量101835万立方米，比上年减少877万立方米。其中农田灌溉占54%，居民生活和工业用水均占14%，林业渔畜占10%。</w:t>
      </w:r>
    </w:p>
    <w:p>
      <w:pPr>
        <w:spacing w:line="576" w:lineRule="exact"/>
        <w:ind w:firstLine="640"/>
        <w:rPr>
          <w:rFonts w:eastAsia="仿宋_GB2312"/>
          <w:sz w:val="32"/>
          <w:szCs w:val="32"/>
        </w:rPr>
      </w:pPr>
      <w:r>
        <w:rPr>
          <w:rFonts w:eastAsia="仿宋_GB2312"/>
          <w:sz w:val="32"/>
          <w:szCs w:val="32"/>
        </w:rPr>
        <w:t>三河市的用水量为18380万立方米，占全市18.0%，是全市用水量最多的县（市）。其中，农田灌溉占全县用水量的39%，工业用水量占全市用水量的22%，居民生活用水量占全市用水量的18%。</w:t>
      </w:r>
    </w:p>
    <w:p>
      <w:pPr>
        <w:spacing w:line="576" w:lineRule="exact"/>
        <w:ind w:firstLine="640"/>
        <w:rPr>
          <w:rFonts w:eastAsia="仿宋_GB2312"/>
          <w:sz w:val="32"/>
          <w:szCs w:val="32"/>
        </w:rPr>
      </w:pPr>
      <w:r>
        <w:rPr>
          <w:rFonts w:eastAsia="仿宋_GB2312"/>
          <w:sz w:val="32"/>
          <w:szCs w:val="32"/>
        </w:rPr>
        <w:t>大厂县的用水总量为4710万立方米，占全市4.6%，是全市用水量最少的县。其中，农田灌溉占全县用水量的65%，工业用水量占全市用水量的14%。</w:t>
      </w:r>
    </w:p>
    <w:p>
      <w:pPr>
        <w:spacing w:line="576" w:lineRule="exact"/>
        <w:ind w:firstLine="640"/>
        <w:rPr>
          <w:rFonts w:eastAsia="仿宋_GB2312"/>
          <w:sz w:val="32"/>
          <w:szCs w:val="32"/>
        </w:rPr>
      </w:pPr>
      <w:r>
        <w:rPr>
          <w:rFonts w:eastAsia="仿宋_GB2312"/>
          <w:sz w:val="32"/>
          <w:szCs w:val="32"/>
        </w:rPr>
        <w:t>香河县的用水总量为12706万立方米，占全市12.5%，是全市的第三大用水县。其中，农田灌溉占全县用水量的62%，城镇公共用水量占全县用水量的12%。</w:t>
      </w:r>
    </w:p>
    <w:p>
      <w:pPr>
        <w:pStyle w:val="3"/>
        <w:spacing w:line="576" w:lineRule="exact"/>
        <w:ind w:left="643" w:firstLine="0" w:firstLineChars="0"/>
        <w:rPr>
          <w:rFonts w:eastAsia="楷体_GB2312"/>
        </w:rPr>
      </w:pPr>
      <w:bookmarkStart w:id="267" w:name="_Toc26126"/>
      <w:bookmarkStart w:id="268" w:name="_Toc446527277"/>
      <w:bookmarkStart w:id="269" w:name="_Toc460596322"/>
      <w:bookmarkStart w:id="270" w:name="_Toc29994"/>
      <w:bookmarkStart w:id="271" w:name="_Toc4032"/>
      <w:bookmarkStart w:id="272" w:name="_Toc7350"/>
      <w:bookmarkStart w:id="273" w:name="_Toc23784068"/>
      <w:bookmarkStart w:id="274" w:name="_Toc445052292"/>
      <w:r>
        <w:rPr>
          <w:rFonts w:eastAsia="楷体_GB2312"/>
        </w:rPr>
        <w:t>2.6社会经济概况</w:t>
      </w:r>
      <w:bookmarkEnd w:id="267"/>
      <w:bookmarkEnd w:id="268"/>
      <w:bookmarkEnd w:id="269"/>
      <w:bookmarkEnd w:id="270"/>
      <w:bookmarkEnd w:id="271"/>
      <w:bookmarkEnd w:id="272"/>
      <w:bookmarkEnd w:id="273"/>
      <w:bookmarkEnd w:id="274"/>
    </w:p>
    <w:p>
      <w:pPr>
        <w:pStyle w:val="4"/>
        <w:spacing w:line="576" w:lineRule="exact"/>
        <w:ind w:firstLine="643"/>
      </w:pPr>
      <w:bookmarkStart w:id="275" w:name="_Toc460596323"/>
      <w:bookmarkStart w:id="276" w:name="_Toc29541"/>
      <w:bookmarkStart w:id="277" w:name="_Toc30182"/>
      <w:bookmarkStart w:id="278" w:name="_Toc14391"/>
      <w:bookmarkStart w:id="279" w:name="_Toc23784069"/>
      <w:bookmarkStart w:id="280" w:name="_Toc4887"/>
      <w:r>
        <w:t>2.6.1三河市</w:t>
      </w:r>
      <w:bookmarkEnd w:id="275"/>
      <w:bookmarkEnd w:id="276"/>
      <w:bookmarkEnd w:id="277"/>
      <w:bookmarkEnd w:id="278"/>
      <w:bookmarkEnd w:id="279"/>
      <w:bookmarkEnd w:id="280"/>
    </w:p>
    <w:p>
      <w:pPr>
        <w:spacing w:line="576" w:lineRule="exact"/>
        <w:ind w:firstLine="640"/>
        <w:rPr>
          <w:rFonts w:eastAsia="仿宋_GB2312"/>
          <w:sz w:val="32"/>
          <w:szCs w:val="32"/>
        </w:rPr>
      </w:pPr>
      <w:r>
        <w:rPr>
          <w:rFonts w:eastAsia="仿宋_GB2312"/>
          <w:sz w:val="32"/>
          <w:szCs w:val="32"/>
        </w:rPr>
        <w:t>2017年，三河市地区生产总值547.5亿元，按可比价格计算比上年增长0.1%，增速比上年回落5.9个百分点。其中，第一产业增加值31.3亿元，下降6.6%；第二产业增加值278亿元，增长4.0%；第三产业增加值238.2亿元，下降3%。地区生产总值增速回落主要是受调控政策影响，房地产业大幅下滑引起的。2017年，房地产业实现增加值45亿元，下降45.8%，下拉三产增速14.6个百分点，下拉地区生产总值增速6.6个百分点。三次产业结构由上年的6.7</w:t>
      </w:r>
      <w:r>
        <w:rPr>
          <w:rFonts w:hint="eastAsia" w:eastAsia="仿宋_GB2312"/>
          <w:sz w:val="32"/>
          <w:szCs w:val="32"/>
        </w:rPr>
        <w:t>:</w:t>
      </w:r>
      <w:r>
        <w:rPr>
          <w:rFonts w:eastAsia="仿宋_GB2312"/>
          <w:sz w:val="32"/>
          <w:szCs w:val="32"/>
        </w:rPr>
        <w:t>50.1</w:t>
      </w:r>
      <w:r>
        <w:rPr>
          <w:rFonts w:hint="eastAsia" w:eastAsia="仿宋_GB2312"/>
          <w:sz w:val="32"/>
          <w:szCs w:val="32"/>
        </w:rPr>
        <w:t>:</w:t>
      </w:r>
      <w:r>
        <w:rPr>
          <w:rFonts w:eastAsia="仿宋_GB2312"/>
          <w:sz w:val="32"/>
          <w:szCs w:val="32"/>
        </w:rPr>
        <w:t>43.2调整为5.7</w:t>
      </w:r>
      <w:r>
        <w:rPr>
          <w:rFonts w:hint="eastAsia" w:eastAsia="仿宋_GB2312"/>
          <w:sz w:val="32"/>
          <w:szCs w:val="32"/>
        </w:rPr>
        <w:t>:</w:t>
      </w:r>
      <w:r>
        <w:rPr>
          <w:rFonts w:eastAsia="仿宋_GB2312"/>
          <w:sz w:val="32"/>
          <w:szCs w:val="32"/>
        </w:rPr>
        <w:t>50.8</w:t>
      </w:r>
      <w:r>
        <w:rPr>
          <w:rFonts w:hint="eastAsia" w:eastAsia="仿宋_GB2312"/>
          <w:sz w:val="32"/>
          <w:szCs w:val="32"/>
        </w:rPr>
        <w:t>:</w:t>
      </w:r>
      <w:r>
        <w:rPr>
          <w:rFonts w:eastAsia="仿宋_GB2312"/>
          <w:sz w:val="32"/>
          <w:szCs w:val="32"/>
        </w:rPr>
        <w:t>43.5，第三产业所占比重提高0.3个百分点。财政收入占地区生产总值的比重为19.1%，比上年下降5.5个百分点。</w:t>
      </w:r>
    </w:p>
    <w:p>
      <w:pPr>
        <w:pStyle w:val="4"/>
        <w:spacing w:line="576" w:lineRule="exact"/>
        <w:ind w:firstLine="643"/>
      </w:pPr>
      <w:bookmarkStart w:id="281" w:name="_Toc460596324"/>
      <w:bookmarkStart w:id="282" w:name="_Toc24686"/>
      <w:bookmarkStart w:id="283" w:name="_Toc13740"/>
      <w:bookmarkStart w:id="284" w:name="_Toc7252"/>
      <w:bookmarkStart w:id="285" w:name="_Toc23784070"/>
      <w:bookmarkStart w:id="286" w:name="_Toc11715"/>
      <w:r>
        <w:t>2.6.2大厂县</w:t>
      </w:r>
      <w:bookmarkEnd w:id="281"/>
      <w:bookmarkEnd w:id="282"/>
      <w:bookmarkEnd w:id="283"/>
      <w:bookmarkEnd w:id="284"/>
      <w:bookmarkEnd w:id="285"/>
      <w:bookmarkEnd w:id="286"/>
    </w:p>
    <w:p>
      <w:pPr>
        <w:spacing w:line="576" w:lineRule="exact"/>
        <w:ind w:firstLine="640"/>
        <w:rPr>
          <w:rFonts w:eastAsia="仿宋_GB2312"/>
          <w:sz w:val="32"/>
          <w:szCs w:val="32"/>
        </w:rPr>
      </w:pPr>
      <w:r>
        <w:rPr>
          <w:rFonts w:eastAsia="仿宋_GB2312"/>
          <w:sz w:val="32"/>
          <w:szCs w:val="32"/>
        </w:rPr>
        <w:t>大厂县地处</w:t>
      </w:r>
      <w:r>
        <w:rPr>
          <w:rFonts w:eastAsia="仿宋_GB2312"/>
          <w:sz w:val="32"/>
          <w:szCs w:val="32"/>
        </w:rPr>
        <w:fldChar w:fldCharType="begin"/>
      </w:r>
      <w:r>
        <w:rPr>
          <w:rFonts w:eastAsia="仿宋_GB2312"/>
          <w:sz w:val="32"/>
          <w:szCs w:val="32"/>
        </w:rPr>
        <w:instrText xml:space="preserve">HYPERLINK "http://baike.so.com/doc/5695851-5908556.html" \t "_blank"</w:instrText>
      </w:r>
      <w:r>
        <w:rPr>
          <w:rFonts w:eastAsia="仿宋_GB2312"/>
          <w:sz w:val="32"/>
          <w:szCs w:val="32"/>
        </w:rPr>
        <w:fldChar w:fldCharType="separate"/>
      </w:r>
      <w:r>
        <w:rPr>
          <w:rFonts w:eastAsia="仿宋_GB2312"/>
          <w:sz w:val="32"/>
          <w:szCs w:val="32"/>
        </w:rPr>
        <w:t>环渤海经济区</w:t>
      </w:r>
      <w:r>
        <w:rPr>
          <w:rFonts w:eastAsia="仿宋_GB2312"/>
          <w:sz w:val="32"/>
          <w:szCs w:val="32"/>
        </w:rPr>
        <w:fldChar w:fldCharType="end"/>
      </w:r>
      <w:r>
        <w:rPr>
          <w:rFonts w:eastAsia="仿宋_GB2312"/>
          <w:sz w:val="32"/>
          <w:szCs w:val="32"/>
        </w:rPr>
        <w:t>和京津都市圈，县政府驻地距首都北京47.9公里，</w:t>
      </w:r>
      <w:r>
        <w:rPr>
          <w:rFonts w:eastAsia="仿宋_GB2312"/>
          <w:sz w:val="32"/>
          <w:szCs w:val="32"/>
        </w:rPr>
        <w:fldChar w:fldCharType="begin"/>
      </w:r>
      <w:r>
        <w:rPr>
          <w:rFonts w:eastAsia="仿宋_GB2312"/>
          <w:sz w:val="32"/>
          <w:szCs w:val="32"/>
        </w:rPr>
        <w:instrText xml:space="preserve">HYPERLINK "http://baike.so.com/doc/6466631-6680323.html" \t "_blank"</w:instrText>
      </w:r>
      <w:r>
        <w:rPr>
          <w:rFonts w:eastAsia="仿宋_GB2312"/>
          <w:sz w:val="32"/>
          <w:szCs w:val="32"/>
        </w:rPr>
        <w:fldChar w:fldCharType="separate"/>
      </w:r>
      <w:r>
        <w:rPr>
          <w:rFonts w:eastAsia="仿宋_GB2312"/>
          <w:sz w:val="32"/>
          <w:szCs w:val="32"/>
        </w:rPr>
        <w:t>京秦铁路</w:t>
      </w:r>
      <w:r>
        <w:rPr>
          <w:rFonts w:eastAsia="仿宋_GB2312"/>
          <w:sz w:val="32"/>
          <w:szCs w:val="32"/>
        </w:rPr>
        <w:fldChar w:fldCharType="end"/>
      </w:r>
      <w:r>
        <w:rPr>
          <w:rFonts w:eastAsia="仿宋_GB2312"/>
          <w:sz w:val="32"/>
          <w:szCs w:val="32"/>
        </w:rPr>
        <w:t>和</w:t>
      </w:r>
      <w:r>
        <w:rPr>
          <w:rFonts w:eastAsia="仿宋_GB2312"/>
          <w:sz w:val="32"/>
          <w:szCs w:val="32"/>
        </w:rPr>
        <w:fldChar w:fldCharType="begin"/>
      </w:r>
      <w:r>
        <w:rPr>
          <w:rFonts w:eastAsia="仿宋_GB2312"/>
          <w:sz w:val="32"/>
          <w:szCs w:val="32"/>
        </w:rPr>
        <w:instrText xml:space="preserve">HYPERLINK "http://baike.so.com/doc/5431497-5669790.html" \t "_blank"</w:instrText>
      </w:r>
      <w:r>
        <w:rPr>
          <w:rFonts w:eastAsia="仿宋_GB2312"/>
          <w:sz w:val="32"/>
          <w:szCs w:val="32"/>
        </w:rPr>
        <w:fldChar w:fldCharType="separate"/>
      </w:r>
      <w:r>
        <w:rPr>
          <w:rFonts w:eastAsia="仿宋_GB2312"/>
          <w:sz w:val="32"/>
          <w:szCs w:val="32"/>
        </w:rPr>
        <w:t>102国道</w:t>
      </w:r>
      <w:r>
        <w:rPr>
          <w:rFonts w:eastAsia="仿宋_GB2312"/>
          <w:sz w:val="32"/>
          <w:szCs w:val="32"/>
        </w:rPr>
        <w:fldChar w:fldCharType="end"/>
      </w:r>
      <w:r>
        <w:rPr>
          <w:rFonts w:eastAsia="仿宋_GB2312"/>
          <w:sz w:val="32"/>
          <w:szCs w:val="32"/>
        </w:rPr>
        <w:t>横贯县境，先后获得“全国食品工业强县”、“全国科技进步县”、“全国民族团结进步先进集体”等荣誉称号。</w:t>
      </w:r>
    </w:p>
    <w:p>
      <w:pPr>
        <w:spacing w:line="576" w:lineRule="exact"/>
        <w:ind w:firstLine="640"/>
        <w:rPr>
          <w:rFonts w:eastAsia="仿宋_GB2312"/>
          <w:sz w:val="32"/>
          <w:szCs w:val="32"/>
        </w:rPr>
      </w:pPr>
      <w:r>
        <w:rPr>
          <w:rFonts w:eastAsia="仿宋_GB2312"/>
          <w:sz w:val="32"/>
          <w:szCs w:val="32"/>
        </w:rPr>
        <w:t>2017年，全县地区生产总值达到1035367万元，同比增长9.8%。其中，一产增加值为66158万元，同比下降7.9%，占GDP比重为6.4%；二产增加值为330137万元，与上年持平，占GDP比重为31.9%；三产增加值为639072万元，同比增长19.0%，占GDP比重为61.7%。财政收入完成541277万元，同比增长16.9%；财政收入占GDP的比重达到52.3%。</w:t>
      </w:r>
    </w:p>
    <w:p>
      <w:pPr>
        <w:spacing w:line="576" w:lineRule="exact"/>
        <w:ind w:firstLine="640"/>
        <w:rPr>
          <w:rFonts w:eastAsia="仿宋_GB2312"/>
          <w:sz w:val="32"/>
          <w:szCs w:val="32"/>
        </w:rPr>
      </w:pPr>
      <w:r>
        <w:rPr>
          <w:rFonts w:eastAsia="仿宋_GB2312"/>
          <w:sz w:val="32"/>
          <w:szCs w:val="32"/>
        </w:rPr>
        <w:t>全年实现农林牧渔业总产值119726万元，同比下降9.3%。其中，农业产值26108万元，同比下降29.8%；林业产值1737万元，同比增长45.4%；牧业产值88948万元，同比下降1.7%；渔业产值2125万元，同比下降8.4%，农林牧渔服务业产值808万元，同比增长3.7%。</w:t>
      </w:r>
    </w:p>
    <w:p>
      <w:pPr>
        <w:spacing w:line="576" w:lineRule="exact"/>
        <w:ind w:firstLine="640"/>
        <w:rPr>
          <w:rFonts w:eastAsia="仿宋_GB2312"/>
          <w:sz w:val="32"/>
          <w:szCs w:val="32"/>
        </w:rPr>
      </w:pPr>
      <w:r>
        <w:rPr>
          <w:rFonts w:eastAsia="仿宋_GB2312"/>
          <w:sz w:val="32"/>
          <w:szCs w:val="32"/>
        </w:rPr>
        <w:t>工业全年实现增加值231719万元，同比下降2.0%，其中规模以上工业增加值157452万元，同比下降2.8%。建筑业全年实现增加值98418万元，同比增长5.7%。</w:t>
      </w:r>
    </w:p>
    <w:p>
      <w:pPr>
        <w:pStyle w:val="4"/>
        <w:spacing w:line="576" w:lineRule="exact"/>
        <w:ind w:firstLine="643"/>
      </w:pPr>
      <w:bookmarkStart w:id="287" w:name="_Toc460596325"/>
      <w:bookmarkStart w:id="288" w:name="_Toc25475"/>
      <w:bookmarkStart w:id="289" w:name="_Toc5156"/>
      <w:bookmarkStart w:id="290" w:name="_Toc3800"/>
      <w:bookmarkStart w:id="291" w:name="_Toc5480"/>
      <w:bookmarkStart w:id="292" w:name="_Toc23784071"/>
      <w:r>
        <w:t>2.6.3香河县</w:t>
      </w:r>
      <w:bookmarkEnd w:id="287"/>
      <w:bookmarkEnd w:id="288"/>
      <w:bookmarkEnd w:id="289"/>
      <w:bookmarkEnd w:id="290"/>
      <w:bookmarkEnd w:id="291"/>
      <w:bookmarkEnd w:id="292"/>
    </w:p>
    <w:p>
      <w:pPr>
        <w:spacing w:line="576" w:lineRule="exact"/>
        <w:ind w:firstLine="640"/>
        <w:rPr>
          <w:rFonts w:eastAsia="仿宋_GB2312"/>
          <w:sz w:val="32"/>
          <w:szCs w:val="32"/>
        </w:rPr>
      </w:pPr>
      <w:r>
        <w:rPr>
          <w:rFonts w:eastAsia="仿宋_GB2312"/>
          <w:sz w:val="32"/>
          <w:szCs w:val="32"/>
        </w:rPr>
        <w:t>香河县为中国北方家具之都，首都经济圈新兴产业高地和滨河特色宜居城市。</w:t>
      </w:r>
    </w:p>
    <w:p>
      <w:pPr>
        <w:spacing w:line="576" w:lineRule="exact"/>
        <w:ind w:firstLine="640"/>
        <w:rPr>
          <w:rFonts w:eastAsia="仿宋_GB2312"/>
          <w:sz w:val="32"/>
          <w:szCs w:val="32"/>
        </w:rPr>
      </w:pPr>
      <w:r>
        <w:rPr>
          <w:rFonts w:eastAsia="仿宋_GB2312"/>
          <w:sz w:val="32"/>
          <w:szCs w:val="32"/>
        </w:rPr>
        <w:t>2017年，全县地区生产总值完成250.8亿元，同比增长6.5%，其中：第一产业实现增加值17.4亿元，同比增长1.1%；第二产业实现增加值126.4亿元，同比增长4.1%；第三产业实现增加值107亿元，同比增长10.1%。全县人均生产总值为67193元，同比增长5.2%。</w:t>
      </w:r>
    </w:p>
    <w:p>
      <w:pPr>
        <w:spacing w:line="576" w:lineRule="exact"/>
        <w:ind w:firstLine="640"/>
        <w:rPr>
          <w:rFonts w:eastAsia="仿宋_GB2312"/>
          <w:sz w:val="32"/>
          <w:szCs w:val="32"/>
        </w:rPr>
      </w:pPr>
      <w:r>
        <w:rPr>
          <w:rFonts w:eastAsia="仿宋_GB2312"/>
          <w:sz w:val="32"/>
          <w:szCs w:val="32"/>
        </w:rPr>
        <w:t>经济结构进一步优化，运行质量不断提高。从三次产业结构看，第一产业所占比重逐步下降，第二产业呈刚性支撑，第三产业快速发展，第一、二、三产业增加值占地区生产总值的比重由上年的7.8</w:t>
      </w:r>
      <w:r>
        <w:rPr>
          <w:rFonts w:hint="eastAsia" w:eastAsia="仿宋_GB2312"/>
          <w:sz w:val="32"/>
          <w:szCs w:val="32"/>
        </w:rPr>
        <w:t>:</w:t>
      </w:r>
      <w:r>
        <w:rPr>
          <w:rFonts w:eastAsia="仿宋_GB2312"/>
          <w:sz w:val="32"/>
          <w:szCs w:val="32"/>
        </w:rPr>
        <w:t>49.4</w:t>
      </w:r>
      <w:r>
        <w:rPr>
          <w:rFonts w:hint="eastAsia" w:eastAsia="仿宋_GB2312"/>
          <w:sz w:val="32"/>
          <w:szCs w:val="32"/>
        </w:rPr>
        <w:t>:</w:t>
      </w:r>
      <w:r>
        <w:rPr>
          <w:rFonts w:eastAsia="仿宋_GB2312"/>
          <w:sz w:val="32"/>
          <w:szCs w:val="32"/>
        </w:rPr>
        <w:t>42.8转变为6.9</w:t>
      </w:r>
      <w:r>
        <w:rPr>
          <w:rFonts w:hint="eastAsia" w:eastAsia="仿宋_GB2312"/>
          <w:sz w:val="32"/>
          <w:szCs w:val="32"/>
        </w:rPr>
        <w:t>:</w:t>
      </w:r>
      <w:r>
        <w:rPr>
          <w:rFonts w:eastAsia="仿宋_GB2312"/>
          <w:sz w:val="32"/>
          <w:szCs w:val="32"/>
        </w:rPr>
        <w:t>50.4</w:t>
      </w:r>
      <w:r>
        <w:rPr>
          <w:rFonts w:hint="eastAsia" w:eastAsia="仿宋_GB2312"/>
          <w:sz w:val="32"/>
          <w:szCs w:val="32"/>
        </w:rPr>
        <w:t>:</w:t>
      </w:r>
      <w:r>
        <w:rPr>
          <w:rFonts w:eastAsia="仿宋_GB2312"/>
          <w:sz w:val="32"/>
          <w:szCs w:val="32"/>
        </w:rPr>
        <w:t>42.7。经济运行质量不断提高，财政收入占地区生产总值的比重达26.41%，比上年下降3.27个百分点。民营经济快速发展，2017年民营经济实现增加值175亿元，比上年增长6.2%，占地区生产总值比重的70.1%。民营经济实缴税金48.8亿元，同比增长4.3%，占全部财政收入比重的74%。</w:t>
      </w:r>
    </w:p>
    <w:p>
      <w:pPr>
        <w:pStyle w:val="3"/>
        <w:spacing w:line="576" w:lineRule="exact"/>
        <w:ind w:left="643" w:firstLine="0" w:firstLineChars="0"/>
        <w:rPr>
          <w:rFonts w:eastAsia="楷体_GB2312"/>
        </w:rPr>
      </w:pPr>
      <w:bookmarkStart w:id="293" w:name="_Toc446527280"/>
      <w:bookmarkStart w:id="294" w:name="_Toc460596326"/>
      <w:bookmarkStart w:id="295" w:name="_Toc14251"/>
      <w:bookmarkStart w:id="296" w:name="_Toc7234"/>
      <w:bookmarkStart w:id="297" w:name="_Toc29848"/>
      <w:bookmarkStart w:id="298" w:name="_Toc25681"/>
      <w:bookmarkStart w:id="299" w:name="_Toc23784072"/>
      <w:bookmarkStart w:id="300" w:name="_Toc445052295"/>
      <w:r>
        <w:rPr>
          <w:rFonts w:eastAsia="楷体_GB2312"/>
        </w:rPr>
        <w:t>2.7土地利用现状</w:t>
      </w:r>
      <w:bookmarkEnd w:id="293"/>
      <w:bookmarkEnd w:id="294"/>
      <w:bookmarkEnd w:id="295"/>
      <w:bookmarkEnd w:id="296"/>
      <w:bookmarkEnd w:id="297"/>
      <w:bookmarkEnd w:id="298"/>
      <w:bookmarkEnd w:id="299"/>
      <w:bookmarkEnd w:id="300"/>
    </w:p>
    <w:p>
      <w:pPr>
        <w:pStyle w:val="4"/>
        <w:spacing w:line="576" w:lineRule="exact"/>
        <w:ind w:firstLine="643"/>
      </w:pPr>
      <w:bookmarkStart w:id="301" w:name="_Toc1770"/>
      <w:bookmarkStart w:id="302" w:name="_Toc7943"/>
      <w:bookmarkStart w:id="303" w:name="_Toc32611"/>
      <w:bookmarkStart w:id="304" w:name="_Toc2555"/>
      <w:bookmarkStart w:id="305" w:name="_Toc23784073"/>
      <w:bookmarkStart w:id="306" w:name="_Toc460596327"/>
      <w:r>
        <w:t>2.7.1三河市</w:t>
      </w:r>
      <w:bookmarkEnd w:id="301"/>
      <w:bookmarkEnd w:id="302"/>
      <w:bookmarkEnd w:id="303"/>
      <w:bookmarkEnd w:id="304"/>
      <w:bookmarkEnd w:id="305"/>
      <w:bookmarkEnd w:id="306"/>
    </w:p>
    <w:p>
      <w:pPr>
        <w:spacing w:line="576" w:lineRule="exact"/>
        <w:ind w:firstLine="640"/>
        <w:rPr>
          <w:rFonts w:eastAsia="仿宋_GB2312"/>
          <w:sz w:val="32"/>
          <w:szCs w:val="32"/>
        </w:rPr>
      </w:pPr>
      <w:r>
        <w:rPr>
          <w:rFonts w:eastAsia="仿宋_GB2312"/>
          <w:sz w:val="32"/>
          <w:szCs w:val="32"/>
        </w:rPr>
        <w:t>三河市总面积634平方公里。燕郊地区开发强度较大，全市建设用地面积已超过30%，燕郊、高楼开发强度超过40%。2015年，燕郊城区建设用地8087.3公顷。</w:t>
      </w:r>
    </w:p>
    <w:p>
      <w:pPr>
        <w:pStyle w:val="4"/>
        <w:spacing w:line="576" w:lineRule="exact"/>
        <w:ind w:firstLine="643"/>
      </w:pPr>
      <w:bookmarkStart w:id="307" w:name="_Toc460596328"/>
      <w:bookmarkStart w:id="308" w:name="_Toc18999"/>
      <w:bookmarkStart w:id="309" w:name="_Toc29770"/>
      <w:bookmarkStart w:id="310" w:name="_Toc3856"/>
      <w:bookmarkStart w:id="311" w:name="_Toc13817"/>
      <w:bookmarkStart w:id="312" w:name="_Toc23784074"/>
      <w:r>
        <w:t>2.7.2大厂县</w:t>
      </w:r>
      <w:bookmarkEnd w:id="307"/>
      <w:bookmarkEnd w:id="308"/>
      <w:bookmarkEnd w:id="309"/>
      <w:bookmarkEnd w:id="310"/>
      <w:bookmarkEnd w:id="311"/>
      <w:bookmarkEnd w:id="312"/>
    </w:p>
    <w:p>
      <w:pPr>
        <w:spacing w:line="576" w:lineRule="exact"/>
        <w:ind w:firstLine="640"/>
        <w:rPr>
          <w:rFonts w:eastAsia="仿宋_GB2312"/>
          <w:sz w:val="32"/>
          <w:szCs w:val="32"/>
        </w:rPr>
      </w:pPr>
      <w:r>
        <w:rPr>
          <w:rFonts w:eastAsia="仿宋_GB2312"/>
          <w:sz w:val="32"/>
          <w:szCs w:val="32"/>
        </w:rPr>
        <w:t>大厂县总面积176.29平方公里，其中耕地11581.54公顷，园地78公顷，林地133.59公顷，居民点及工矿用地2878.18公顷，交通用地804.53公顷，水域1675.77公顷，未利用土地477.59公顷。</w:t>
      </w:r>
    </w:p>
    <w:p>
      <w:pPr>
        <w:spacing w:line="576" w:lineRule="exact"/>
        <w:ind w:firstLine="640"/>
        <w:rPr>
          <w:rFonts w:eastAsia="仿宋_GB2312"/>
          <w:sz w:val="32"/>
          <w:szCs w:val="32"/>
        </w:rPr>
      </w:pPr>
      <w:r>
        <w:rPr>
          <w:rFonts w:eastAsia="仿宋_GB2312"/>
          <w:sz w:val="32"/>
          <w:szCs w:val="32"/>
        </w:rPr>
        <w:t>“十二五”期间，通过开展小麦、玉米高产创建和粮食增产模式攻关，粮食生产模式不断优化、综合生产能力水平不断提升，全县粮食生产实现“十一”连丰。粮食种植面积稳定在21.7万亩左右，粮食单产平均为446公斤，较“十一五”期间平均单产395公斤上升了12.9%；粮食总产9.4万吨，较“十一五”期间总产8.0万吨上升了17.5%。万亩小麦高产创建示范片单产首次超500公斤，万亩玉米高产创建示范片单产首次超600公斤，再创粮食单产新纪录。</w:t>
      </w:r>
    </w:p>
    <w:p>
      <w:pPr>
        <w:spacing w:line="576" w:lineRule="exact"/>
        <w:ind w:firstLine="640"/>
        <w:rPr>
          <w:rFonts w:eastAsia="仿宋_GB2312"/>
          <w:sz w:val="32"/>
          <w:szCs w:val="32"/>
        </w:rPr>
      </w:pPr>
      <w:r>
        <w:rPr>
          <w:rFonts w:eastAsia="仿宋_GB2312"/>
          <w:sz w:val="32"/>
          <w:szCs w:val="32"/>
        </w:rPr>
        <w:t>“十二五”期间，全县蔬菜占地面积1.94万亩，比2010年提高16%；蔬菜年播种面积达到4.5万亩，比2010年提高20.6%；蔬菜总产量21万吨，比2010年提高23.2%；设施蔬菜占地面积达到0.92万亩，比2010年提高41.3%；设施蔬菜播种面积2万亩，比2010年提高30.8%；设施蔬菜面积占蔬菜总面积的44.4%；产值1.87亿元，比2010年提高37.5%；蔬菜收入（2879元）占农民人均纯收入（11203元）的比重为25.7%。五年内全县新增蔬菜面积0.925万亩，其中新增设施蔬菜种植面积0.615万亩。</w:t>
      </w:r>
    </w:p>
    <w:p>
      <w:pPr>
        <w:spacing w:line="576" w:lineRule="exact"/>
        <w:ind w:firstLine="640"/>
        <w:rPr>
          <w:rFonts w:eastAsia="仿宋_GB2312"/>
          <w:sz w:val="32"/>
          <w:szCs w:val="32"/>
        </w:rPr>
      </w:pPr>
      <w:r>
        <w:rPr>
          <w:rFonts w:eastAsia="仿宋_GB2312"/>
          <w:sz w:val="32"/>
          <w:szCs w:val="32"/>
        </w:rPr>
        <w:t>全县土地流转总面积16094亩，占农民家庭承包土地面积的11.67%。其中以出租形式流转13451亩，以转包形式流转2475亩，以股份合作形式流转81亩，以互换形式流转51亩，以转让形式流转36亩。土地流转的经营主体主要是以农业企业和种养大户为主，流转面积在20亩以上的经营主体达到95个，流转面积14124亩，占全县土地流转总面积的87.7%。共签订土地流转合同3915份，流转合同签订率达到了100%。</w:t>
      </w:r>
    </w:p>
    <w:p>
      <w:pPr>
        <w:pStyle w:val="4"/>
        <w:spacing w:line="576" w:lineRule="exact"/>
        <w:ind w:firstLine="643"/>
      </w:pPr>
      <w:bookmarkStart w:id="313" w:name="_Toc460596329"/>
      <w:bookmarkStart w:id="314" w:name="_Toc28834"/>
      <w:bookmarkStart w:id="315" w:name="_Toc3832"/>
      <w:bookmarkStart w:id="316" w:name="_Toc25423"/>
      <w:bookmarkStart w:id="317" w:name="_Toc7809"/>
      <w:bookmarkStart w:id="318" w:name="_Toc23784075"/>
      <w:r>
        <w:t>2.7.3香河县</w:t>
      </w:r>
      <w:bookmarkEnd w:id="313"/>
      <w:bookmarkEnd w:id="314"/>
      <w:bookmarkEnd w:id="315"/>
      <w:bookmarkEnd w:id="316"/>
      <w:bookmarkEnd w:id="317"/>
      <w:bookmarkEnd w:id="318"/>
    </w:p>
    <w:p>
      <w:pPr>
        <w:spacing w:line="576" w:lineRule="exact"/>
        <w:ind w:firstLine="640"/>
        <w:rPr>
          <w:rFonts w:eastAsia="仿宋_GB2312"/>
          <w:sz w:val="32"/>
          <w:szCs w:val="32"/>
        </w:rPr>
      </w:pPr>
      <w:r>
        <w:rPr>
          <w:rFonts w:eastAsia="仿宋_GB2312"/>
          <w:sz w:val="32"/>
          <w:szCs w:val="32"/>
        </w:rPr>
        <w:t>香河境内潮白河堤顶路全线施工建设完毕，其中左堤26.485公里，右20.25公里，河流均宽1475米，最宽淑阳镇赶水坝村2500米，最窄钱旺镇达古庄村450米。堤顶宽8米，左堤绿化26.45公里，右堤20.2公里。堤身占地6410亩，滩地43830亩（其中耕地34234亩，非耕地面积9596亩），河槽占地7992.5亩，护堤3505亩。</w:t>
      </w:r>
    </w:p>
    <w:p>
      <w:pPr>
        <w:spacing w:line="576" w:lineRule="exact"/>
        <w:ind w:firstLine="640"/>
        <w:rPr>
          <w:rFonts w:hint="eastAsia" w:eastAsia="仿宋_GB2312"/>
          <w:sz w:val="32"/>
          <w:szCs w:val="32"/>
        </w:rPr>
      </w:pPr>
      <w:r>
        <w:rPr>
          <w:rFonts w:eastAsia="仿宋_GB2312"/>
          <w:sz w:val="32"/>
          <w:szCs w:val="32"/>
        </w:rPr>
        <w:t>香河县潮白河堤内村庄共有7个村庄，分布在蒋辛屯镇和淑阳镇，凌家吴村、河南吴村2个村庄拟搬迁上楼。具体情况如下表所示。</w:t>
      </w:r>
    </w:p>
    <w:p>
      <w:pPr>
        <w:spacing w:after="163" w:afterLines="50" w:line="550" w:lineRule="exact"/>
        <w:ind w:firstLine="0" w:firstLineChars="0"/>
        <w:jc w:val="center"/>
        <w:rPr>
          <w:rFonts w:eastAsia="黑体"/>
          <w:sz w:val="32"/>
          <w:szCs w:val="32"/>
        </w:rPr>
      </w:pPr>
      <w:r>
        <w:rPr>
          <w:rFonts w:eastAsia="黑体"/>
          <w:sz w:val="32"/>
          <w:szCs w:val="32"/>
        </w:rPr>
        <w:t>表2</w:t>
      </w:r>
      <w:r>
        <w:rPr>
          <w:rFonts w:hint="eastAsia" w:eastAsia="黑体"/>
          <w:sz w:val="32"/>
          <w:szCs w:val="32"/>
        </w:rPr>
        <w:t>-</w:t>
      </w:r>
      <w:r>
        <w:rPr>
          <w:rFonts w:eastAsia="黑体"/>
          <w:sz w:val="32"/>
          <w:szCs w:val="32"/>
        </w:rPr>
        <w:t>2　香河县潮白河堤内农村人口及土地利用情况统计表</w:t>
      </w:r>
    </w:p>
    <w:tbl>
      <w:tblPr>
        <w:tblStyle w:val="13"/>
        <w:tblW w:w="8719" w:type="dxa"/>
        <w:tblInd w:w="99" w:type="dxa"/>
        <w:tblLayout w:type="fixed"/>
        <w:tblCellMar>
          <w:top w:w="0" w:type="dxa"/>
          <w:left w:w="57" w:type="dxa"/>
          <w:bottom w:w="0" w:type="dxa"/>
          <w:right w:w="57" w:type="dxa"/>
        </w:tblCellMar>
      </w:tblPr>
      <w:tblGrid>
        <w:gridCol w:w="553"/>
        <w:gridCol w:w="993"/>
        <w:gridCol w:w="1129"/>
        <w:gridCol w:w="880"/>
        <w:gridCol w:w="881"/>
        <w:gridCol w:w="245"/>
        <w:gridCol w:w="636"/>
        <w:gridCol w:w="881"/>
        <w:gridCol w:w="881"/>
        <w:gridCol w:w="881"/>
        <w:gridCol w:w="759"/>
      </w:tblGrid>
      <w:tr>
        <w:tblPrEx>
          <w:tblLayout w:type="fixed"/>
          <w:tblCellMar>
            <w:top w:w="0" w:type="dxa"/>
            <w:left w:w="57" w:type="dxa"/>
            <w:bottom w:w="0" w:type="dxa"/>
            <w:right w:w="57" w:type="dxa"/>
          </w:tblCellMar>
        </w:tblPrEx>
        <w:trPr>
          <w:trHeight w:val="592" w:hRule="atLeast"/>
          <w:tblHeader/>
        </w:trPr>
        <w:tc>
          <w:tcPr>
            <w:tcW w:w="553"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编号</w:t>
            </w:r>
          </w:p>
        </w:tc>
        <w:tc>
          <w:tcPr>
            <w:tcW w:w="993"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乡镇</w:t>
            </w:r>
          </w:p>
        </w:tc>
        <w:tc>
          <w:tcPr>
            <w:tcW w:w="1129"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村庄</w:t>
            </w:r>
          </w:p>
        </w:tc>
        <w:tc>
          <w:tcPr>
            <w:tcW w:w="2006" w:type="dxa"/>
            <w:gridSpan w:val="3"/>
            <w:tcBorders>
              <w:top w:val="single" w:color="auto" w:sz="4" w:space="0"/>
              <w:left w:val="nil"/>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人口</w:t>
            </w:r>
          </w:p>
        </w:tc>
        <w:tc>
          <w:tcPr>
            <w:tcW w:w="4038" w:type="dxa"/>
            <w:gridSpan w:val="5"/>
            <w:tcBorders>
              <w:top w:val="single" w:color="auto" w:sz="4" w:space="0"/>
              <w:left w:val="nil"/>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土地利用（亩）</w:t>
            </w:r>
          </w:p>
        </w:tc>
      </w:tr>
      <w:tr>
        <w:tblPrEx>
          <w:tblLayout w:type="fixed"/>
          <w:tblCellMar>
            <w:top w:w="0" w:type="dxa"/>
            <w:left w:w="57" w:type="dxa"/>
            <w:bottom w:w="0" w:type="dxa"/>
            <w:right w:w="57" w:type="dxa"/>
          </w:tblCellMar>
        </w:tblPrEx>
        <w:trPr>
          <w:trHeight w:val="592" w:hRule="atLeast"/>
          <w:tblHeader/>
        </w:trPr>
        <w:tc>
          <w:tcPr>
            <w:tcW w:w="553"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p>
        </w:tc>
        <w:tc>
          <w:tcPr>
            <w:tcW w:w="993"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p>
        </w:tc>
        <w:tc>
          <w:tcPr>
            <w:tcW w:w="1129"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p>
        </w:tc>
        <w:tc>
          <w:tcPr>
            <w:tcW w:w="880"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户数</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人数</w:t>
            </w:r>
          </w:p>
        </w:tc>
        <w:tc>
          <w:tcPr>
            <w:tcW w:w="881" w:type="dxa"/>
            <w:gridSpan w:val="2"/>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小麦</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玉米</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果树</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蔬菜</w:t>
            </w:r>
          </w:p>
        </w:tc>
        <w:tc>
          <w:tcPr>
            <w:tcW w:w="75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林地</w:t>
            </w:r>
          </w:p>
        </w:tc>
      </w:tr>
      <w:tr>
        <w:tblPrEx>
          <w:tblLayout w:type="fixed"/>
          <w:tblCellMar>
            <w:top w:w="0" w:type="dxa"/>
            <w:left w:w="57" w:type="dxa"/>
            <w:bottom w:w="0" w:type="dxa"/>
            <w:right w:w="57" w:type="dxa"/>
          </w:tblCellMar>
        </w:tblPrEx>
        <w:trPr>
          <w:trHeight w:val="592" w:hRule="atLeast"/>
        </w:trPr>
        <w:tc>
          <w:tcPr>
            <w:tcW w:w="553" w:type="dxa"/>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1</w:t>
            </w:r>
          </w:p>
        </w:tc>
        <w:tc>
          <w:tcPr>
            <w:tcW w:w="993" w:type="dxa"/>
            <w:vMerge w:val="restart"/>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蒋辛屯镇</w:t>
            </w:r>
          </w:p>
        </w:tc>
        <w:tc>
          <w:tcPr>
            <w:tcW w:w="112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苍头村</w:t>
            </w:r>
          </w:p>
        </w:tc>
        <w:tc>
          <w:tcPr>
            <w:tcW w:w="880"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219</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631</w:t>
            </w:r>
          </w:p>
        </w:tc>
        <w:tc>
          <w:tcPr>
            <w:tcW w:w="881" w:type="dxa"/>
            <w:gridSpan w:val="2"/>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400</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300</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75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r>
      <w:tr>
        <w:tblPrEx>
          <w:tblLayout w:type="fixed"/>
          <w:tblCellMar>
            <w:top w:w="0" w:type="dxa"/>
            <w:left w:w="57" w:type="dxa"/>
            <w:bottom w:w="0" w:type="dxa"/>
            <w:right w:w="57" w:type="dxa"/>
          </w:tblCellMar>
        </w:tblPrEx>
        <w:trPr>
          <w:trHeight w:val="592" w:hRule="atLeast"/>
        </w:trPr>
        <w:tc>
          <w:tcPr>
            <w:tcW w:w="553" w:type="dxa"/>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2</w:t>
            </w:r>
          </w:p>
        </w:tc>
        <w:tc>
          <w:tcPr>
            <w:tcW w:w="993" w:type="dxa"/>
            <w:vMerge w:val="continue"/>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p>
        </w:tc>
        <w:tc>
          <w:tcPr>
            <w:tcW w:w="112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王店子村</w:t>
            </w:r>
          </w:p>
        </w:tc>
        <w:tc>
          <w:tcPr>
            <w:tcW w:w="880"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288</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894</w:t>
            </w:r>
          </w:p>
        </w:tc>
        <w:tc>
          <w:tcPr>
            <w:tcW w:w="881" w:type="dxa"/>
            <w:gridSpan w:val="2"/>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750</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1200</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w:t>
            </w:r>
          </w:p>
        </w:tc>
        <w:tc>
          <w:tcPr>
            <w:tcW w:w="75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r>
      <w:tr>
        <w:tblPrEx>
          <w:tblLayout w:type="fixed"/>
          <w:tblCellMar>
            <w:top w:w="0" w:type="dxa"/>
            <w:left w:w="57" w:type="dxa"/>
            <w:bottom w:w="0" w:type="dxa"/>
            <w:right w:w="57" w:type="dxa"/>
          </w:tblCellMar>
        </w:tblPrEx>
        <w:trPr>
          <w:trHeight w:val="592" w:hRule="atLeast"/>
        </w:trPr>
        <w:tc>
          <w:tcPr>
            <w:tcW w:w="553" w:type="dxa"/>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3</w:t>
            </w:r>
          </w:p>
        </w:tc>
        <w:tc>
          <w:tcPr>
            <w:tcW w:w="993" w:type="dxa"/>
            <w:vMerge w:val="continue"/>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p>
        </w:tc>
        <w:tc>
          <w:tcPr>
            <w:tcW w:w="112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北吴村</w:t>
            </w:r>
          </w:p>
        </w:tc>
        <w:tc>
          <w:tcPr>
            <w:tcW w:w="880"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544</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1654</w:t>
            </w:r>
          </w:p>
        </w:tc>
        <w:tc>
          <w:tcPr>
            <w:tcW w:w="881" w:type="dxa"/>
            <w:gridSpan w:val="2"/>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700</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20</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75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r>
      <w:tr>
        <w:tblPrEx>
          <w:tblLayout w:type="fixed"/>
          <w:tblCellMar>
            <w:top w:w="0" w:type="dxa"/>
            <w:left w:w="57" w:type="dxa"/>
            <w:bottom w:w="0" w:type="dxa"/>
            <w:right w:w="57" w:type="dxa"/>
          </w:tblCellMar>
        </w:tblPrEx>
        <w:trPr>
          <w:trHeight w:val="592" w:hRule="atLeast"/>
        </w:trPr>
        <w:tc>
          <w:tcPr>
            <w:tcW w:w="553" w:type="dxa"/>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4</w:t>
            </w:r>
          </w:p>
        </w:tc>
        <w:tc>
          <w:tcPr>
            <w:tcW w:w="993" w:type="dxa"/>
            <w:vMerge w:val="continue"/>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p>
        </w:tc>
        <w:tc>
          <w:tcPr>
            <w:tcW w:w="112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杨簸箕村</w:t>
            </w:r>
          </w:p>
        </w:tc>
        <w:tc>
          <w:tcPr>
            <w:tcW w:w="880"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169</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544</w:t>
            </w:r>
          </w:p>
        </w:tc>
        <w:tc>
          <w:tcPr>
            <w:tcW w:w="881" w:type="dxa"/>
            <w:gridSpan w:val="2"/>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600</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75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800</w:t>
            </w:r>
          </w:p>
        </w:tc>
      </w:tr>
      <w:tr>
        <w:tblPrEx>
          <w:tblLayout w:type="fixed"/>
          <w:tblCellMar>
            <w:top w:w="0" w:type="dxa"/>
            <w:left w:w="57" w:type="dxa"/>
            <w:bottom w:w="0" w:type="dxa"/>
            <w:right w:w="57" w:type="dxa"/>
          </w:tblCellMar>
        </w:tblPrEx>
        <w:trPr>
          <w:trHeight w:val="592" w:hRule="atLeast"/>
        </w:trPr>
        <w:tc>
          <w:tcPr>
            <w:tcW w:w="553" w:type="dxa"/>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5</w:t>
            </w:r>
          </w:p>
        </w:tc>
        <w:tc>
          <w:tcPr>
            <w:tcW w:w="993" w:type="dxa"/>
            <w:vMerge w:val="restart"/>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淑阳镇</w:t>
            </w:r>
          </w:p>
        </w:tc>
        <w:tc>
          <w:tcPr>
            <w:tcW w:w="112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凌家吴村</w:t>
            </w:r>
          </w:p>
        </w:tc>
        <w:tc>
          <w:tcPr>
            <w:tcW w:w="880"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183</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657</w:t>
            </w:r>
          </w:p>
        </w:tc>
        <w:tc>
          <w:tcPr>
            <w:tcW w:w="881" w:type="dxa"/>
            <w:gridSpan w:val="2"/>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80</w:t>
            </w:r>
          </w:p>
        </w:tc>
        <w:tc>
          <w:tcPr>
            <w:tcW w:w="75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150</w:t>
            </w:r>
          </w:p>
        </w:tc>
      </w:tr>
      <w:tr>
        <w:tblPrEx>
          <w:tblLayout w:type="fixed"/>
          <w:tblCellMar>
            <w:top w:w="0" w:type="dxa"/>
            <w:left w:w="57" w:type="dxa"/>
            <w:bottom w:w="0" w:type="dxa"/>
            <w:right w:w="57" w:type="dxa"/>
          </w:tblCellMar>
        </w:tblPrEx>
        <w:trPr>
          <w:trHeight w:val="592" w:hRule="atLeast"/>
        </w:trPr>
        <w:tc>
          <w:tcPr>
            <w:tcW w:w="553" w:type="dxa"/>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6</w:t>
            </w:r>
          </w:p>
        </w:tc>
        <w:tc>
          <w:tcPr>
            <w:tcW w:w="993" w:type="dxa"/>
            <w:vMerge w:val="continue"/>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p>
        </w:tc>
        <w:tc>
          <w:tcPr>
            <w:tcW w:w="112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河南吴村</w:t>
            </w:r>
          </w:p>
        </w:tc>
        <w:tc>
          <w:tcPr>
            <w:tcW w:w="880"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527</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1280</w:t>
            </w:r>
          </w:p>
        </w:tc>
        <w:tc>
          <w:tcPr>
            <w:tcW w:w="881" w:type="dxa"/>
            <w:gridSpan w:val="2"/>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75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10</w:t>
            </w:r>
          </w:p>
        </w:tc>
      </w:tr>
      <w:tr>
        <w:tblPrEx>
          <w:tblLayout w:type="fixed"/>
          <w:tblCellMar>
            <w:top w:w="0" w:type="dxa"/>
            <w:left w:w="57" w:type="dxa"/>
            <w:bottom w:w="0" w:type="dxa"/>
            <w:right w:w="57" w:type="dxa"/>
          </w:tblCellMar>
        </w:tblPrEx>
        <w:trPr>
          <w:trHeight w:val="592" w:hRule="atLeast"/>
        </w:trPr>
        <w:tc>
          <w:tcPr>
            <w:tcW w:w="553" w:type="dxa"/>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7</w:t>
            </w:r>
          </w:p>
        </w:tc>
        <w:tc>
          <w:tcPr>
            <w:tcW w:w="993" w:type="dxa"/>
            <w:vMerge w:val="continue"/>
            <w:tcBorders>
              <w:top w:val="nil"/>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p>
        </w:tc>
        <w:tc>
          <w:tcPr>
            <w:tcW w:w="112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程辛庄村</w:t>
            </w:r>
          </w:p>
        </w:tc>
        <w:tc>
          <w:tcPr>
            <w:tcW w:w="880"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211</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690</w:t>
            </w:r>
          </w:p>
        </w:tc>
        <w:tc>
          <w:tcPr>
            <w:tcW w:w="881" w:type="dxa"/>
            <w:gridSpan w:val="2"/>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820</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80</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75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140</w:t>
            </w:r>
          </w:p>
        </w:tc>
      </w:tr>
      <w:tr>
        <w:tblPrEx>
          <w:tblLayout w:type="fixed"/>
          <w:tblCellMar>
            <w:top w:w="0" w:type="dxa"/>
            <w:left w:w="57" w:type="dxa"/>
            <w:bottom w:w="0" w:type="dxa"/>
            <w:right w:w="57" w:type="dxa"/>
          </w:tblCellMar>
        </w:tblPrEx>
        <w:trPr>
          <w:trHeight w:val="592" w:hRule="atLeast"/>
        </w:trPr>
        <w:tc>
          <w:tcPr>
            <w:tcW w:w="2675" w:type="dxa"/>
            <w:gridSpan w:val="3"/>
            <w:tcBorders>
              <w:top w:val="single" w:color="auto" w:sz="4" w:space="0"/>
              <w:left w:val="single" w:color="auto" w:sz="4" w:space="0"/>
              <w:bottom w:val="single" w:color="auto" w:sz="4" w:space="0"/>
              <w:right w:val="single" w:color="auto" w:sz="4" w:space="0"/>
            </w:tcBorders>
            <w:vAlign w:val="center"/>
          </w:tcPr>
          <w:p>
            <w:pPr>
              <w:widowControl/>
              <w:spacing w:line="280" w:lineRule="exact"/>
              <w:ind w:firstLine="0" w:firstLineChars="0"/>
              <w:jc w:val="center"/>
              <w:rPr>
                <w:rFonts w:eastAsia="仿宋_GB2312"/>
                <w:bCs/>
                <w:color w:val="000000"/>
                <w:kern w:val="0"/>
                <w:sz w:val="21"/>
                <w:szCs w:val="21"/>
              </w:rPr>
            </w:pPr>
            <w:r>
              <w:rPr>
                <w:rFonts w:eastAsia="仿宋_GB2312"/>
                <w:bCs/>
                <w:color w:val="000000"/>
                <w:kern w:val="0"/>
                <w:sz w:val="21"/>
                <w:szCs w:val="21"/>
              </w:rPr>
              <w:t>合计</w:t>
            </w:r>
          </w:p>
        </w:tc>
        <w:tc>
          <w:tcPr>
            <w:tcW w:w="880"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2141</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6350</w:t>
            </w:r>
          </w:p>
        </w:tc>
        <w:tc>
          <w:tcPr>
            <w:tcW w:w="881" w:type="dxa"/>
            <w:gridSpan w:val="2"/>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2520</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830</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1520</w:t>
            </w:r>
          </w:p>
        </w:tc>
        <w:tc>
          <w:tcPr>
            <w:tcW w:w="881"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100</w:t>
            </w:r>
          </w:p>
        </w:tc>
        <w:tc>
          <w:tcPr>
            <w:tcW w:w="759" w:type="dxa"/>
            <w:tcBorders>
              <w:top w:val="nil"/>
              <w:left w:val="nil"/>
              <w:bottom w:val="single" w:color="auto" w:sz="4" w:space="0"/>
              <w:right w:val="single" w:color="auto" w:sz="4" w:space="0"/>
            </w:tcBorders>
            <w:vAlign w:val="center"/>
          </w:tcPr>
          <w:p>
            <w:pPr>
              <w:widowControl/>
              <w:spacing w:line="280" w:lineRule="exact"/>
              <w:ind w:firstLine="0" w:firstLineChars="0"/>
              <w:jc w:val="center"/>
              <w:rPr>
                <w:rFonts w:eastAsia="仿宋_GB2312"/>
                <w:color w:val="000000"/>
                <w:kern w:val="0"/>
                <w:sz w:val="21"/>
                <w:szCs w:val="21"/>
              </w:rPr>
            </w:pPr>
            <w:r>
              <w:rPr>
                <w:rFonts w:eastAsia="仿宋_GB2312"/>
                <w:color w:val="000000"/>
                <w:kern w:val="0"/>
                <w:sz w:val="21"/>
                <w:szCs w:val="21"/>
              </w:rPr>
              <w:t>1100</w:t>
            </w:r>
          </w:p>
        </w:tc>
      </w:tr>
    </w:tbl>
    <w:p>
      <w:pPr>
        <w:pStyle w:val="2"/>
        <w:spacing w:line="594" w:lineRule="exact"/>
        <w:ind w:left="640" w:firstLine="0" w:firstLineChars="0"/>
      </w:pPr>
      <w:bookmarkStart w:id="319" w:name="_Toc5396"/>
      <w:bookmarkStart w:id="320" w:name="_Toc25201"/>
      <w:bookmarkStart w:id="321" w:name="_Toc5627"/>
      <w:bookmarkStart w:id="322" w:name="_Toc25115"/>
      <w:bookmarkStart w:id="323" w:name="_Toc460596330"/>
      <w:bookmarkStart w:id="324" w:name="_Toc23784076"/>
      <w:r>
        <w:t>三、水环境</w:t>
      </w:r>
      <w:bookmarkEnd w:id="319"/>
      <w:bookmarkEnd w:id="320"/>
      <w:bookmarkEnd w:id="321"/>
      <w:bookmarkEnd w:id="322"/>
      <w:bookmarkEnd w:id="323"/>
      <w:r>
        <w:t>形势状况分析</w:t>
      </w:r>
      <w:bookmarkEnd w:id="324"/>
    </w:p>
    <w:p>
      <w:pPr>
        <w:pStyle w:val="3"/>
        <w:spacing w:line="594" w:lineRule="exact"/>
        <w:ind w:left="643" w:firstLine="0" w:firstLineChars="0"/>
        <w:rPr>
          <w:rFonts w:eastAsia="楷体_GB2312"/>
        </w:rPr>
      </w:pPr>
      <w:bookmarkStart w:id="325" w:name="_Toc23784077"/>
      <w:r>
        <w:rPr>
          <w:rFonts w:eastAsia="楷体_GB2312"/>
        </w:rPr>
        <w:t>3.1水质考核要求</w:t>
      </w:r>
      <w:bookmarkEnd w:id="325"/>
    </w:p>
    <w:p>
      <w:pPr>
        <w:adjustRightInd w:val="0"/>
        <w:snapToGrid w:val="0"/>
        <w:spacing w:line="594" w:lineRule="exact"/>
        <w:ind w:firstLine="640"/>
        <w:rPr>
          <w:rFonts w:eastAsia="仿宋_GB2312"/>
          <w:sz w:val="32"/>
          <w:szCs w:val="32"/>
        </w:rPr>
      </w:pPr>
      <w:r>
        <w:rPr>
          <w:rFonts w:eastAsia="仿宋_GB2312"/>
          <w:sz w:val="32"/>
          <w:szCs w:val="32"/>
        </w:rPr>
        <w:t>潮白河共有两个国家考核断面，分别为吴村和大套桥断面，自2018年起，水质考核目标均为达到地表水Ｖ类水质标准。</w:t>
      </w:r>
    </w:p>
    <w:p>
      <w:pPr>
        <w:adjustRightInd w:val="0"/>
        <w:snapToGrid w:val="0"/>
        <w:spacing w:line="594" w:lineRule="exact"/>
        <w:ind w:firstLine="640"/>
        <w:rPr>
          <w:rFonts w:eastAsia="仿宋_GB2312"/>
          <w:sz w:val="32"/>
          <w:szCs w:val="32"/>
        </w:rPr>
      </w:pPr>
      <w:r>
        <w:rPr>
          <w:rFonts w:eastAsia="仿宋_GB2312"/>
          <w:sz w:val="32"/>
          <w:szCs w:val="32"/>
        </w:rPr>
        <w:t>国控断面水质评价数据采用国家监测数据，其他断面水质评价数据采用廊坊市监测数据。水质评价采用单因子标准指数法进行评价，评价指标与方法参考《地表水环境质量评价办法》（环办〔2011〕22号）、《地表水环境质量标准》（GB3838—2002）的有关内容。</w:t>
      </w:r>
    </w:p>
    <w:p>
      <w:pPr>
        <w:pStyle w:val="3"/>
        <w:spacing w:line="594" w:lineRule="exact"/>
        <w:ind w:left="643" w:firstLine="0" w:firstLineChars="0"/>
        <w:rPr>
          <w:rFonts w:eastAsia="楷体_GB2312"/>
        </w:rPr>
      </w:pPr>
      <w:bookmarkStart w:id="326" w:name="_Toc23784078"/>
      <w:r>
        <w:rPr>
          <w:rFonts w:eastAsia="楷体_GB2312"/>
        </w:rPr>
        <w:t>3.2水环境质量状况与差距分析</w:t>
      </w:r>
      <w:bookmarkEnd w:id="326"/>
    </w:p>
    <w:p>
      <w:pPr>
        <w:adjustRightInd w:val="0"/>
        <w:snapToGrid w:val="0"/>
        <w:spacing w:line="594" w:lineRule="exact"/>
        <w:ind w:firstLine="640"/>
        <w:rPr>
          <w:rFonts w:eastAsia="仿宋_GB2312"/>
          <w:sz w:val="32"/>
          <w:szCs w:val="32"/>
        </w:rPr>
      </w:pPr>
      <w:r>
        <w:rPr>
          <w:rFonts w:eastAsia="仿宋_GB2312"/>
          <w:sz w:val="32"/>
          <w:szCs w:val="32"/>
        </w:rPr>
        <w:t>从考核断面2018年水质年均值来看，潮白河吴村、大套桥断面水质类别分别为V类和劣V类；吴村断面达到了2020年水质考核目标，大套桥断面未达到2020年水质考核目标，超标指标为化学需氧量，超标倍数0.06倍。</w:t>
      </w:r>
    </w:p>
    <w:p>
      <w:pPr>
        <w:adjustRightInd w:val="0"/>
        <w:snapToGrid w:val="0"/>
        <w:spacing w:after="163" w:afterLines="50" w:line="594" w:lineRule="exact"/>
        <w:ind w:firstLine="640"/>
        <w:rPr>
          <w:rFonts w:eastAsia="仿宋_GB2312"/>
          <w:sz w:val="32"/>
          <w:szCs w:val="32"/>
        </w:rPr>
      </w:pPr>
      <w:r>
        <w:rPr>
          <w:rFonts w:eastAsia="仿宋_GB2312"/>
          <w:sz w:val="32"/>
          <w:szCs w:val="32"/>
        </w:rPr>
        <w:t>从考核断面2018年水质各月值来看，吴村断面除1</w:t>
      </w:r>
      <w:r>
        <w:rPr>
          <w:rFonts w:hint="eastAsia" w:eastAsia="仿宋_GB2312"/>
          <w:sz w:val="32"/>
          <w:szCs w:val="32"/>
        </w:rPr>
        <w:t>—</w:t>
      </w:r>
      <w:r>
        <w:rPr>
          <w:rFonts w:eastAsia="仿宋_GB2312"/>
          <w:sz w:val="32"/>
          <w:szCs w:val="32"/>
        </w:rPr>
        <w:t>3月、7</w:t>
      </w:r>
      <w:r>
        <w:rPr>
          <w:rFonts w:hint="eastAsia" w:eastAsia="仿宋_GB2312"/>
          <w:sz w:val="32"/>
          <w:szCs w:val="32"/>
        </w:rPr>
        <w:t>—</w:t>
      </w:r>
      <w:r>
        <w:rPr>
          <w:rFonts w:eastAsia="仿宋_GB2312"/>
          <w:sz w:val="32"/>
          <w:szCs w:val="32"/>
        </w:rPr>
        <w:t>8月水质为劣V类外，其余月份水质都达标，水质达标率58%，主要超标指标为氨氮、化学需氧量；大套桥断面除1</w:t>
      </w:r>
      <w:r>
        <w:rPr>
          <w:rFonts w:hint="eastAsia" w:eastAsia="仿宋_GB2312"/>
          <w:sz w:val="32"/>
          <w:szCs w:val="32"/>
        </w:rPr>
        <w:t>—</w:t>
      </w:r>
      <w:r>
        <w:rPr>
          <w:rFonts w:eastAsia="仿宋_GB2312"/>
          <w:sz w:val="32"/>
          <w:szCs w:val="32"/>
        </w:rPr>
        <w:t>6月、10月水质为劣V类外，其余月份水质都达标，水质达标率42%，主要超标指标为化学需氧量、生化需氧量。从2019年1</w:t>
      </w:r>
      <w:r>
        <w:rPr>
          <w:rFonts w:hint="eastAsia" w:eastAsia="仿宋_GB2312"/>
          <w:sz w:val="32"/>
          <w:szCs w:val="32"/>
        </w:rPr>
        <w:t>—</w:t>
      </w:r>
      <w:r>
        <w:rPr>
          <w:rFonts w:eastAsia="仿宋_GB2312"/>
          <w:sz w:val="32"/>
          <w:szCs w:val="32"/>
        </w:rPr>
        <w:t>8月水质来看，吴村、大套桥断面水质均有所变差；吴村断面除1、2月外，其余月份水质均为劣V类，水质达标率为25%，主要超标指标为化学需氧量和生化需氧量；大套桥断面除1、2、7月外，其余月份水质均为劣V类，水质达标率为37.5%，主要超标指标也为化学需氧量和生化需氧量。</w:t>
      </w:r>
    </w:p>
    <w:p>
      <w:pPr>
        <w:pStyle w:val="14"/>
        <w:autoSpaceDN w:val="0"/>
        <w:adjustRightInd w:val="0"/>
        <w:snapToGrid w:val="0"/>
        <w:spacing w:line="240" w:lineRule="auto"/>
        <w:ind w:firstLine="0" w:firstLineChars="0"/>
        <w:rPr>
          <w:rFonts w:hint="eastAsia" w:ascii="Times New Roman" w:hAnsi="Times New Roman" w:eastAsia="仿宋_GB2312"/>
          <w:sz w:val="32"/>
          <w:szCs w:val="32"/>
        </w:rPr>
      </w:pPr>
    </w:p>
    <w:tbl>
      <w:tblPr>
        <w:tblStyle w:val="13"/>
        <w:tblW w:w="8962" w:type="dxa"/>
        <w:jc w:val="center"/>
        <w:tblInd w:w="0" w:type="dxa"/>
        <w:tblLayout w:type="fixed"/>
        <w:tblCellMar>
          <w:top w:w="0" w:type="dxa"/>
          <w:left w:w="108" w:type="dxa"/>
          <w:bottom w:w="0" w:type="dxa"/>
          <w:right w:w="108" w:type="dxa"/>
        </w:tblCellMar>
      </w:tblPr>
      <w:tblGrid>
        <w:gridCol w:w="8962"/>
      </w:tblGrid>
      <w:tr>
        <w:tblPrEx>
          <w:tblLayout w:type="fixed"/>
          <w:tblCellMar>
            <w:top w:w="0" w:type="dxa"/>
            <w:left w:w="108" w:type="dxa"/>
            <w:bottom w:w="0" w:type="dxa"/>
            <w:right w:w="108" w:type="dxa"/>
          </w:tblCellMar>
        </w:tblPrEx>
        <w:trPr>
          <w:trHeight w:val="448" w:hRule="atLeast"/>
          <w:jc w:val="center"/>
        </w:trPr>
        <w:tc>
          <w:tcPr>
            <w:tcW w:w="8962" w:type="dxa"/>
            <w:vAlign w:val="center"/>
          </w:tcPr>
          <w:p>
            <w:pPr>
              <w:snapToGrid w:val="0"/>
              <w:spacing w:line="240" w:lineRule="auto"/>
              <w:ind w:firstLine="0" w:firstLineChars="0"/>
              <w:jc w:val="center"/>
              <w:rPr>
                <w:rFonts w:eastAsia="仿宋_GB2312"/>
                <w:b/>
                <w:szCs w:val="32"/>
              </w:rPr>
            </w:pPr>
            <w:r>
              <w:rPr>
                <w:rFonts w:eastAsia="仿宋_GB2312"/>
                <w:b/>
                <w:szCs w:val="32"/>
              </w:rPr>
              <w:drawing>
                <wp:inline distT="0" distB="0" distL="114300" distR="114300">
                  <wp:extent cx="5559425" cy="2184400"/>
                  <wp:effectExtent l="0" t="0" r="3175" b="6350"/>
                  <wp:docPr id="12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88"/>
                          <pic:cNvPicPr>
                            <a:picLocks noChangeAspect="1"/>
                          </pic:cNvPicPr>
                        </pic:nvPicPr>
                        <pic:blipFill>
                          <a:blip r:embed="rId49"/>
                          <a:stretch>
                            <a:fillRect/>
                          </a:stretch>
                        </pic:blipFill>
                        <pic:spPr>
                          <a:xfrm>
                            <a:off x="0" y="0"/>
                            <a:ext cx="5559425" cy="2184400"/>
                          </a:xfrm>
                          <a:prstGeom prst="rect">
                            <a:avLst/>
                          </a:prstGeom>
                          <a:noFill/>
                          <a:ln w="9525">
                            <a:noFill/>
                          </a:ln>
                        </pic:spPr>
                      </pic:pic>
                    </a:graphicData>
                  </a:graphic>
                </wp:inline>
              </w:drawing>
            </w:r>
          </w:p>
          <w:p>
            <w:pPr>
              <w:snapToGrid w:val="0"/>
              <w:spacing w:line="240" w:lineRule="auto"/>
              <w:ind w:firstLine="0" w:firstLineChars="0"/>
              <w:jc w:val="center"/>
              <w:rPr>
                <w:rFonts w:eastAsia="仿宋_GB2312"/>
                <w:b/>
                <w:szCs w:val="32"/>
              </w:rPr>
            </w:pPr>
          </w:p>
          <w:p>
            <w:pPr>
              <w:numPr>
                <w:ilvl w:val="0"/>
                <w:numId w:val="1"/>
              </w:numPr>
              <w:snapToGrid w:val="0"/>
              <w:spacing w:line="240" w:lineRule="auto"/>
              <w:ind w:firstLineChars="0"/>
              <w:jc w:val="center"/>
              <w:rPr>
                <w:rFonts w:eastAsia="仿宋_GB2312"/>
                <w:b/>
                <w:szCs w:val="32"/>
              </w:rPr>
            </w:pPr>
            <w:r>
              <w:rPr>
                <w:rFonts w:eastAsia="仿宋_GB2312"/>
                <w:b/>
                <w:szCs w:val="32"/>
              </w:rPr>
              <w:t>吴村</w:t>
            </w:r>
          </w:p>
          <w:p>
            <w:pPr>
              <w:snapToGrid w:val="0"/>
              <w:spacing w:line="240" w:lineRule="auto"/>
              <w:ind w:left="720" w:firstLine="0" w:firstLineChars="0"/>
              <w:rPr>
                <w:rFonts w:eastAsia="仿宋_GB2312"/>
                <w:b/>
                <w:szCs w:val="32"/>
              </w:rPr>
            </w:pPr>
          </w:p>
          <w:p>
            <w:pPr>
              <w:snapToGrid w:val="0"/>
              <w:spacing w:line="240" w:lineRule="auto"/>
              <w:ind w:left="720" w:firstLine="0" w:firstLineChars="0"/>
              <w:rPr>
                <w:rFonts w:eastAsia="仿宋_GB2312"/>
                <w:b/>
                <w:szCs w:val="32"/>
              </w:rPr>
            </w:pPr>
          </w:p>
        </w:tc>
      </w:tr>
      <w:tr>
        <w:tblPrEx>
          <w:tblLayout w:type="fixed"/>
          <w:tblCellMar>
            <w:top w:w="0" w:type="dxa"/>
            <w:left w:w="108" w:type="dxa"/>
            <w:bottom w:w="0" w:type="dxa"/>
            <w:right w:w="108" w:type="dxa"/>
          </w:tblCellMar>
        </w:tblPrEx>
        <w:trPr>
          <w:trHeight w:val="397" w:hRule="atLeast"/>
          <w:jc w:val="center"/>
        </w:trPr>
        <w:tc>
          <w:tcPr>
            <w:tcW w:w="8962" w:type="dxa"/>
            <w:vAlign w:val="center"/>
          </w:tcPr>
          <w:p>
            <w:pPr>
              <w:snapToGrid w:val="0"/>
              <w:spacing w:line="240" w:lineRule="auto"/>
              <w:ind w:firstLine="0" w:firstLineChars="0"/>
              <w:rPr>
                <w:rFonts w:eastAsia="仿宋_GB2312"/>
                <w:b/>
                <w:szCs w:val="32"/>
              </w:rPr>
            </w:pPr>
            <w:r>
              <w:rPr>
                <w:rFonts w:eastAsia="仿宋_GB2312"/>
                <w:b/>
                <w:szCs w:val="32"/>
              </w:rPr>
              <w:drawing>
                <wp:inline distT="0" distB="0" distL="114300" distR="114300">
                  <wp:extent cx="5587365" cy="2228215"/>
                  <wp:effectExtent l="0" t="0" r="13335" b="635"/>
                  <wp:docPr id="12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89"/>
                          <pic:cNvPicPr>
                            <a:picLocks noChangeAspect="1"/>
                          </pic:cNvPicPr>
                        </pic:nvPicPr>
                        <pic:blipFill>
                          <a:blip r:embed="rId50"/>
                          <a:stretch>
                            <a:fillRect/>
                          </a:stretch>
                        </pic:blipFill>
                        <pic:spPr>
                          <a:xfrm>
                            <a:off x="0" y="0"/>
                            <a:ext cx="5587365" cy="2228215"/>
                          </a:xfrm>
                          <a:prstGeom prst="rect">
                            <a:avLst/>
                          </a:prstGeom>
                          <a:noFill/>
                          <a:ln w="9525">
                            <a:noFill/>
                          </a:ln>
                        </pic:spPr>
                      </pic:pic>
                    </a:graphicData>
                  </a:graphic>
                </wp:inline>
              </w:drawing>
            </w:r>
          </w:p>
          <w:p>
            <w:pPr>
              <w:snapToGrid w:val="0"/>
              <w:spacing w:line="240" w:lineRule="auto"/>
              <w:ind w:firstLine="0" w:firstLineChars="0"/>
              <w:jc w:val="center"/>
              <w:rPr>
                <w:rFonts w:eastAsia="仿宋_GB2312"/>
                <w:b/>
                <w:szCs w:val="32"/>
              </w:rPr>
            </w:pPr>
            <w:r>
              <w:rPr>
                <w:rFonts w:eastAsia="仿宋_GB2312"/>
                <w:b/>
                <w:szCs w:val="32"/>
              </w:rPr>
              <w:t>（b）大套桥</w:t>
            </w:r>
          </w:p>
        </w:tc>
      </w:tr>
    </w:tbl>
    <w:p>
      <w:pPr>
        <w:snapToGrid w:val="0"/>
        <w:spacing w:before="163" w:beforeLines="50" w:after="163" w:afterLines="50" w:line="240" w:lineRule="auto"/>
        <w:ind w:firstLine="0" w:firstLineChars="0"/>
        <w:jc w:val="center"/>
        <w:rPr>
          <w:rFonts w:eastAsia="仿宋_GB2312"/>
          <w:b/>
          <w:szCs w:val="32"/>
        </w:rPr>
      </w:pPr>
      <w:r>
        <w:rPr>
          <w:rFonts w:eastAsia="仿宋_GB2312"/>
          <w:b/>
          <w:szCs w:val="32"/>
        </w:rPr>
        <w:t>图3</w:t>
      </w:r>
      <w:r>
        <w:rPr>
          <w:rFonts w:hint="eastAsia" w:eastAsia="仿宋_GB2312"/>
          <w:b/>
          <w:szCs w:val="32"/>
        </w:rPr>
        <w:t>-</w:t>
      </w:r>
      <w:r>
        <w:rPr>
          <w:rFonts w:eastAsia="仿宋_GB2312"/>
          <w:b/>
          <w:szCs w:val="32"/>
        </w:rPr>
        <w:t>1</w:t>
      </w:r>
      <w:r>
        <w:rPr>
          <w:rFonts w:hint="eastAsia" w:eastAsia="仿宋_GB2312"/>
          <w:b/>
          <w:szCs w:val="32"/>
        </w:rPr>
        <w:t>　</w:t>
      </w:r>
      <w:r>
        <w:rPr>
          <w:rFonts w:eastAsia="仿宋_GB2312"/>
          <w:b/>
          <w:szCs w:val="32"/>
        </w:rPr>
        <w:t>吴村、大套桥断面2018</w:t>
      </w:r>
      <w:r>
        <w:rPr>
          <w:rFonts w:hint="eastAsia" w:eastAsia="仿宋_GB2312"/>
          <w:b/>
          <w:szCs w:val="32"/>
        </w:rPr>
        <w:t>—</w:t>
      </w:r>
      <w:r>
        <w:rPr>
          <w:rFonts w:eastAsia="仿宋_GB2312"/>
          <w:b/>
          <w:szCs w:val="32"/>
        </w:rPr>
        <w:t>2019年各月水质状况</w:t>
      </w:r>
    </w:p>
    <w:p>
      <w:pPr>
        <w:pStyle w:val="3"/>
        <w:spacing w:line="590" w:lineRule="exact"/>
        <w:ind w:left="643" w:firstLine="0" w:firstLineChars="0"/>
        <w:rPr>
          <w:rFonts w:eastAsia="楷体_GB2312"/>
        </w:rPr>
      </w:pPr>
      <w:bookmarkStart w:id="327" w:name="_Toc23784079"/>
      <w:r>
        <w:rPr>
          <w:rFonts w:eastAsia="楷体_GB2312"/>
        </w:rPr>
        <w:t>3.3当前水质超标风险分析</w:t>
      </w:r>
      <w:bookmarkEnd w:id="327"/>
    </w:p>
    <w:p>
      <w:pPr>
        <w:spacing w:line="590" w:lineRule="exact"/>
        <w:ind w:firstLine="640"/>
        <w:rPr>
          <w:rFonts w:eastAsia="仿宋_GB2312"/>
          <w:sz w:val="32"/>
          <w:szCs w:val="32"/>
        </w:rPr>
      </w:pPr>
      <w:r>
        <w:rPr>
          <w:rFonts w:eastAsia="仿宋_GB2312"/>
          <w:sz w:val="32"/>
          <w:szCs w:val="32"/>
        </w:rPr>
        <w:t>根据近几年潮白河吴村、大套桥断面水质分析，潮白河水质改善明显，但是水质依然超标，尤其是大套桥2018年水质年均值未能达标。从水质年内结果看，潮白河在2018年1月到8月均存在水质超标风险，如不采取相应措施，可能导致潮白河全年水质无法到达考核目标。</w:t>
      </w:r>
    </w:p>
    <w:p>
      <w:pPr>
        <w:pStyle w:val="2"/>
        <w:spacing w:line="590" w:lineRule="exact"/>
        <w:ind w:left="640" w:firstLine="0" w:firstLineChars="0"/>
      </w:pPr>
      <w:bookmarkStart w:id="328" w:name="_Toc10199"/>
      <w:bookmarkStart w:id="329" w:name="_Toc24058"/>
      <w:bookmarkStart w:id="330" w:name="_Toc1960"/>
      <w:bookmarkStart w:id="331" w:name="_Toc12975"/>
      <w:bookmarkStart w:id="332" w:name="_Toc460596341"/>
      <w:bookmarkStart w:id="333" w:name="_Toc23784080"/>
      <w:r>
        <w:t>四、污染源</w:t>
      </w:r>
      <w:bookmarkEnd w:id="328"/>
      <w:bookmarkEnd w:id="329"/>
      <w:bookmarkEnd w:id="330"/>
      <w:bookmarkEnd w:id="331"/>
      <w:bookmarkEnd w:id="332"/>
      <w:r>
        <w:t>状况解析</w:t>
      </w:r>
      <w:bookmarkEnd w:id="333"/>
    </w:p>
    <w:p>
      <w:pPr>
        <w:pStyle w:val="3"/>
        <w:spacing w:line="590" w:lineRule="exact"/>
        <w:ind w:left="643" w:firstLine="0" w:firstLineChars="0"/>
        <w:rPr>
          <w:rFonts w:eastAsia="楷体_GB2312"/>
        </w:rPr>
      </w:pPr>
      <w:bookmarkStart w:id="334" w:name="_Toc12646"/>
      <w:bookmarkStart w:id="335" w:name="_Toc1072"/>
      <w:bookmarkStart w:id="336" w:name="_Toc24552"/>
      <w:bookmarkStart w:id="337" w:name="_Toc19709"/>
      <w:bookmarkStart w:id="338" w:name="_Toc23784081"/>
      <w:bookmarkStart w:id="339" w:name="_Toc460596342"/>
      <w:r>
        <w:rPr>
          <w:rFonts w:eastAsia="楷体_GB2312"/>
        </w:rPr>
        <w:t>4.1工业污染源</w:t>
      </w:r>
      <w:bookmarkEnd w:id="334"/>
      <w:bookmarkEnd w:id="335"/>
      <w:bookmarkEnd w:id="336"/>
      <w:bookmarkEnd w:id="337"/>
      <w:bookmarkEnd w:id="338"/>
      <w:bookmarkEnd w:id="339"/>
    </w:p>
    <w:p>
      <w:pPr>
        <w:spacing w:line="590" w:lineRule="exact"/>
        <w:ind w:firstLine="640"/>
        <w:rPr>
          <w:rFonts w:eastAsia="仿宋_GB2312"/>
          <w:sz w:val="32"/>
          <w:szCs w:val="32"/>
        </w:rPr>
      </w:pPr>
      <w:r>
        <w:rPr>
          <w:rFonts w:eastAsia="仿宋_GB2312"/>
          <w:sz w:val="32"/>
          <w:szCs w:val="32"/>
        </w:rPr>
        <w:t>（1）三河市燕郊国家高新技术产业开发区</w:t>
      </w:r>
    </w:p>
    <w:p>
      <w:pPr>
        <w:spacing w:line="590" w:lineRule="exact"/>
        <w:ind w:firstLine="640"/>
        <w:rPr>
          <w:rFonts w:eastAsia="仿宋_GB2312"/>
          <w:sz w:val="32"/>
          <w:szCs w:val="32"/>
        </w:rPr>
      </w:pPr>
      <w:r>
        <w:rPr>
          <w:rFonts w:eastAsia="仿宋_GB2312"/>
          <w:sz w:val="32"/>
          <w:szCs w:val="32"/>
        </w:rPr>
        <w:t>1992年8月燕郊经济技术开发区经河北省政府批准成立。1999年12月被省政府批准为省级高新技术产业园区。2010年11月29日，经国务院批准，燕郊高新技术产业园区升级为国家高新技术产业开发区。经过多年发展，已经成为京东地区最富发展实力、发展魅力、发展活力的现代化产业新区。先后吸引了美、德、法、日、韩及港澳台等近30个国家和地区的近千个项目，投资总规模近千亿元，综合实力在河北省各开发区中名列前茅，已成为培育环京津地区新的发展增长极的重要组成部分。2015年累计实现财政收入81.3135亿元，完成固定资产投资296.54亿元，实际利用外资1.6091亿美元，完成工业总产值474.13亿元，实现工业增加值185.86亿元。全区经济实力继续壮大、企业活力显著增强、整体竞争力稳步提升，保持了良好的发展势头。</w:t>
      </w:r>
    </w:p>
    <w:p>
      <w:pPr>
        <w:spacing w:line="590" w:lineRule="exact"/>
        <w:ind w:firstLine="640"/>
        <w:rPr>
          <w:rFonts w:eastAsia="仿宋_GB2312"/>
          <w:sz w:val="32"/>
          <w:szCs w:val="32"/>
        </w:rPr>
      </w:pPr>
      <w:r>
        <w:rPr>
          <w:rFonts w:eastAsia="仿宋_GB2312"/>
          <w:sz w:val="32"/>
          <w:szCs w:val="32"/>
        </w:rPr>
        <w:t>根据2017年环境统计数据，三河市燕郊规模以上涉水的工业企业共13家，年废水排放量约为760.1万吨，排放化学需氧量635.1吨、氨氮90.4吨。</w:t>
      </w:r>
    </w:p>
    <w:p>
      <w:pPr>
        <w:spacing w:line="590" w:lineRule="exact"/>
        <w:ind w:firstLine="640"/>
        <w:rPr>
          <w:rFonts w:eastAsia="黑体"/>
          <w:sz w:val="32"/>
          <w:szCs w:val="32"/>
        </w:rPr>
      </w:pPr>
      <w:r>
        <w:rPr>
          <w:rFonts w:eastAsia="仿宋_GB2312"/>
          <w:sz w:val="32"/>
          <w:szCs w:val="32"/>
        </w:rPr>
        <w:br w:type="page"/>
      </w:r>
      <w:r>
        <w:rPr>
          <w:rFonts w:eastAsia="黑体"/>
          <w:sz w:val="32"/>
          <w:szCs w:val="32"/>
        </w:rPr>
        <w:t>表4</w:t>
      </w:r>
      <w:r>
        <w:rPr>
          <w:rFonts w:hint="eastAsia" w:eastAsia="黑体"/>
          <w:sz w:val="32"/>
          <w:szCs w:val="32"/>
        </w:rPr>
        <w:t>-</w:t>
      </w:r>
      <w:r>
        <w:rPr>
          <w:rFonts w:eastAsia="黑体"/>
          <w:sz w:val="32"/>
          <w:szCs w:val="32"/>
        </w:rPr>
        <w:t>1　三河市燕郊规模以上涉水工业企业排放情况</w:t>
      </w:r>
    </w:p>
    <w:p>
      <w:pPr>
        <w:spacing w:after="163" w:afterLines="50" w:line="520" w:lineRule="exact"/>
        <w:ind w:firstLine="0" w:firstLineChars="0"/>
        <w:jc w:val="center"/>
        <w:rPr>
          <w:rFonts w:eastAsia="黑体"/>
          <w:sz w:val="32"/>
          <w:szCs w:val="32"/>
        </w:rPr>
      </w:pPr>
      <w:r>
        <w:rPr>
          <w:rFonts w:eastAsia="黑体"/>
          <w:sz w:val="32"/>
          <w:szCs w:val="32"/>
        </w:rPr>
        <w:t>（2017年环境统计）</w:t>
      </w:r>
    </w:p>
    <w:tbl>
      <w:tblPr>
        <w:tblStyle w:val="13"/>
        <w:tblW w:w="8763" w:type="dxa"/>
        <w:tblInd w:w="16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00"/>
        <w:gridCol w:w="2157"/>
        <w:gridCol w:w="955"/>
        <w:gridCol w:w="955"/>
        <w:gridCol w:w="996"/>
        <w:gridCol w:w="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 w:hRule="atLeast"/>
        </w:trPr>
        <w:tc>
          <w:tcPr>
            <w:tcW w:w="2800" w:type="dxa"/>
            <w:vMerge w:val="restart"/>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工业企业名称</w:t>
            </w:r>
          </w:p>
        </w:tc>
        <w:tc>
          <w:tcPr>
            <w:tcW w:w="2157" w:type="dxa"/>
            <w:vMerge w:val="restart"/>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行业类别</w:t>
            </w:r>
          </w:p>
        </w:tc>
        <w:tc>
          <w:tcPr>
            <w:tcW w:w="1910" w:type="dxa"/>
            <w:gridSpan w:val="2"/>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工业废水排放（吨）</w:t>
            </w:r>
          </w:p>
        </w:tc>
        <w:tc>
          <w:tcPr>
            <w:tcW w:w="1896" w:type="dxa"/>
            <w:gridSpan w:val="2"/>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主要污染物排放（吨）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 w:hRule="atLeast"/>
        </w:trPr>
        <w:tc>
          <w:tcPr>
            <w:tcW w:w="2800" w:type="dxa"/>
            <w:vMerge w:val="continue"/>
            <w:vAlign w:val="center"/>
          </w:tcPr>
          <w:p>
            <w:pPr>
              <w:widowControl/>
              <w:spacing w:line="240" w:lineRule="auto"/>
              <w:ind w:firstLine="0" w:firstLineChars="0"/>
              <w:jc w:val="center"/>
              <w:rPr>
                <w:rFonts w:eastAsia="仿宋_GB2312"/>
                <w:b/>
                <w:bCs/>
                <w:color w:val="000000"/>
                <w:kern w:val="0"/>
                <w:sz w:val="21"/>
                <w:szCs w:val="21"/>
              </w:rPr>
            </w:pPr>
          </w:p>
        </w:tc>
        <w:tc>
          <w:tcPr>
            <w:tcW w:w="2157" w:type="dxa"/>
            <w:vMerge w:val="continue"/>
            <w:vAlign w:val="center"/>
          </w:tcPr>
          <w:p>
            <w:pPr>
              <w:widowControl/>
              <w:spacing w:line="240" w:lineRule="auto"/>
              <w:ind w:firstLine="0" w:firstLineChars="0"/>
              <w:jc w:val="center"/>
              <w:rPr>
                <w:rFonts w:eastAsia="仿宋_GB2312"/>
                <w:b/>
                <w:bCs/>
                <w:color w:val="000000"/>
                <w:kern w:val="0"/>
                <w:sz w:val="21"/>
                <w:szCs w:val="21"/>
              </w:rPr>
            </w:pPr>
          </w:p>
        </w:tc>
        <w:tc>
          <w:tcPr>
            <w:tcW w:w="955" w:type="dxa"/>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排放总量</w:t>
            </w:r>
          </w:p>
        </w:tc>
        <w:tc>
          <w:tcPr>
            <w:tcW w:w="955" w:type="dxa"/>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排入污水处理厂的</w:t>
            </w:r>
          </w:p>
        </w:tc>
        <w:tc>
          <w:tcPr>
            <w:tcW w:w="996" w:type="dxa"/>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COD</w:t>
            </w:r>
          </w:p>
        </w:tc>
        <w:tc>
          <w:tcPr>
            <w:tcW w:w="900" w:type="dxa"/>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氨氮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trPr>
        <w:tc>
          <w:tcPr>
            <w:tcW w:w="28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中科生物制药股份有限公司</w:t>
            </w:r>
          </w:p>
        </w:tc>
        <w:tc>
          <w:tcPr>
            <w:tcW w:w="2157"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火力发电</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38916</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38916</w:t>
            </w:r>
          </w:p>
        </w:tc>
        <w:tc>
          <w:tcPr>
            <w:tcW w:w="996"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37.17</w:t>
            </w:r>
          </w:p>
        </w:tc>
        <w:tc>
          <w:tcPr>
            <w:tcW w:w="9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29" w:hRule="atLeast"/>
        </w:trPr>
        <w:tc>
          <w:tcPr>
            <w:tcW w:w="28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三河发电有限责任公司</w:t>
            </w:r>
          </w:p>
        </w:tc>
        <w:tc>
          <w:tcPr>
            <w:tcW w:w="2157"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金属表面处理及热处理加工</w:t>
            </w:r>
          </w:p>
        </w:tc>
        <w:tc>
          <w:tcPr>
            <w:tcW w:w="955" w:type="dxa"/>
            <w:vAlign w:val="center"/>
          </w:tcPr>
          <w:p>
            <w:pPr>
              <w:widowControl/>
              <w:spacing w:line="240" w:lineRule="auto"/>
              <w:ind w:firstLine="0" w:firstLineChars="0"/>
              <w:jc w:val="center"/>
              <w:rPr>
                <w:rFonts w:eastAsia="仿宋_GB2312"/>
                <w:color w:val="000000"/>
                <w:kern w:val="0"/>
                <w:sz w:val="21"/>
                <w:szCs w:val="21"/>
              </w:rPr>
            </w:pPr>
          </w:p>
        </w:tc>
        <w:tc>
          <w:tcPr>
            <w:tcW w:w="955" w:type="dxa"/>
            <w:vAlign w:val="center"/>
          </w:tcPr>
          <w:p>
            <w:pPr>
              <w:widowControl/>
              <w:spacing w:line="240" w:lineRule="auto"/>
              <w:ind w:firstLine="0" w:firstLineChars="0"/>
              <w:jc w:val="center"/>
              <w:rPr>
                <w:rFonts w:eastAsia="仿宋_GB2312"/>
                <w:color w:val="000000"/>
                <w:kern w:val="0"/>
                <w:sz w:val="21"/>
                <w:szCs w:val="21"/>
              </w:rPr>
            </w:pPr>
          </w:p>
        </w:tc>
        <w:tc>
          <w:tcPr>
            <w:tcW w:w="996" w:type="dxa"/>
            <w:vAlign w:val="center"/>
          </w:tcPr>
          <w:p>
            <w:pPr>
              <w:widowControl/>
              <w:spacing w:line="240" w:lineRule="auto"/>
              <w:ind w:firstLine="0" w:firstLineChars="0"/>
              <w:jc w:val="center"/>
              <w:rPr>
                <w:rFonts w:eastAsia="仿宋_GB2312"/>
                <w:color w:val="000000"/>
                <w:kern w:val="0"/>
                <w:sz w:val="21"/>
                <w:szCs w:val="21"/>
              </w:rPr>
            </w:pPr>
          </w:p>
        </w:tc>
        <w:tc>
          <w:tcPr>
            <w:tcW w:w="900" w:type="dxa"/>
            <w:vAlign w:val="center"/>
          </w:tcPr>
          <w:p>
            <w:pPr>
              <w:widowControl/>
              <w:spacing w:line="240" w:lineRule="auto"/>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99" w:hRule="atLeast"/>
        </w:trPr>
        <w:tc>
          <w:tcPr>
            <w:tcW w:w="28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北京当升材料科技股份有限公司燕郊分公司</w:t>
            </w:r>
          </w:p>
        </w:tc>
        <w:tc>
          <w:tcPr>
            <w:tcW w:w="2157"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包装装潢及其他印刷</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51820</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51820</w:t>
            </w:r>
          </w:p>
        </w:tc>
        <w:tc>
          <w:tcPr>
            <w:tcW w:w="996"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2.80</w:t>
            </w:r>
          </w:p>
        </w:tc>
        <w:tc>
          <w:tcPr>
            <w:tcW w:w="9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5" w:hRule="atLeast"/>
        </w:trPr>
        <w:tc>
          <w:tcPr>
            <w:tcW w:w="28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三河新源供热有限公司</w:t>
            </w:r>
          </w:p>
        </w:tc>
        <w:tc>
          <w:tcPr>
            <w:tcW w:w="2157"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基因工程药物和疫苗制造</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22000</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22000</w:t>
            </w:r>
          </w:p>
        </w:tc>
        <w:tc>
          <w:tcPr>
            <w:tcW w:w="996"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3.39</w:t>
            </w:r>
          </w:p>
        </w:tc>
        <w:tc>
          <w:tcPr>
            <w:tcW w:w="9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 w:hRule="atLeast"/>
        </w:trPr>
        <w:tc>
          <w:tcPr>
            <w:tcW w:w="28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北京世维通科技发展有限公司三河市分公司</w:t>
            </w:r>
          </w:p>
        </w:tc>
        <w:tc>
          <w:tcPr>
            <w:tcW w:w="2157"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火力发电</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8400</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8400</w:t>
            </w:r>
          </w:p>
        </w:tc>
        <w:tc>
          <w:tcPr>
            <w:tcW w:w="996"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7.35</w:t>
            </w:r>
          </w:p>
        </w:tc>
        <w:tc>
          <w:tcPr>
            <w:tcW w:w="9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 w:hRule="atLeast"/>
        </w:trPr>
        <w:tc>
          <w:tcPr>
            <w:tcW w:w="28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平易印刷技术有限公司</w:t>
            </w:r>
          </w:p>
        </w:tc>
        <w:tc>
          <w:tcPr>
            <w:tcW w:w="2157"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其他电子专用设备制造</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6770480</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6770480</w:t>
            </w:r>
          </w:p>
        </w:tc>
        <w:tc>
          <w:tcPr>
            <w:tcW w:w="996"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431.13</w:t>
            </w:r>
          </w:p>
        </w:tc>
        <w:tc>
          <w:tcPr>
            <w:tcW w:w="9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55.91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trPr>
        <w:tc>
          <w:tcPr>
            <w:tcW w:w="28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三河市飞虹热力有限公司</w:t>
            </w:r>
          </w:p>
        </w:tc>
        <w:tc>
          <w:tcPr>
            <w:tcW w:w="2157"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热力生产和供应</w:t>
            </w:r>
          </w:p>
        </w:tc>
        <w:tc>
          <w:tcPr>
            <w:tcW w:w="955" w:type="dxa"/>
            <w:vAlign w:val="center"/>
          </w:tcPr>
          <w:p>
            <w:pPr>
              <w:widowControl/>
              <w:spacing w:line="240" w:lineRule="auto"/>
              <w:ind w:firstLine="0" w:firstLineChars="0"/>
              <w:jc w:val="center"/>
              <w:rPr>
                <w:rFonts w:eastAsia="仿宋_GB2312"/>
                <w:color w:val="000000"/>
                <w:kern w:val="0"/>
                <w:sz w:val="21"/>
                <w:szCs w:val="21"/>
              </w:rPr>
            </w:pPr>
          </w:p>
        </w:tc>
        <w:tc>
          <w:tcPr>
            <w:tcW w:w="955" w:type="dxa"/>
            <w:vAlign w:val="center"/>
          </w:tcPr>
          <w:p>
            <w:pPr>
              <w:widowControl/>
              <w:spacing w:line="240" w:lineRule="auto"/>
              <w:ind w:firstLine="0" w:firstLineChars="0"/>
              <w:jc w:val="center"/>
              <w:rPr>
                <w:rFonts w:eastAsia="仿宋_GB2312"/>
                <w:color w:val="000000"/>
                <w:kern w:val="0"/>
                <w:sz w:val="21"/>
                <w:szCs w:val="21"/>
              </w:rPr>
            </w:pPr>
          </w:p>
        </w:tc>
        <w:tc>
          <w:tcPr>
            <w:tcW w:w="996" w:type="dxa"/>
            <w:vAlign w:val="center"/>
          </w:tcPr>
          <w:p>
            <w:pPr>
              <w:widowControl/>
              <w:spacing w:line="240" w:lineRule="auto"/>
              <w:ind w:firstLine="0" w:firstLineChars="0"/>
              <w:jc w:val="center"/>
              <w:rPr>
                <w:rFonts w:eastAsia="仿宋_GB2312"/>
                <w:color w:val="000000"/>
                <w:kern w:val="0"/>
                <w:sz w:val="21"/>
                <w:szCs w:val="21"/>
              </w:rPr>
            </w:pPr>
          </w:p>
        </w:tc>
        <w:tc>
          <w:tcPr>
            <w:tcW w:w="900" w:type="dxa"/>
            <w:vAlign w:val="center"/>
          </w:tcPr>
          <w:p>
            <w:pPr>
              <w:widowControl/>
              <w:spacing w:line="240" w:lineRule="auto"/>
              <w:ind w:firstLine="0" w:firstLineChars="0"/>
              <w:jc w:val="center"/>
              <w:rPr>
                <w:rFonts w:eastAsia="仿宋_GB2312"/>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7" w:hRule="atLeast"/>
        </w:trPr>
        <w:tc>
          <w:tcPr>
            <w:tcW w:w="28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三河汇福粮油集团有</w:t>
            </w:r>
            <w:r>
              <w:rPr>
                <w:rFonts w:hint="eastAsia" w:eastAsia="仿宋_GB2312"/>
                <w:color w:val="000000"/>
                <w:kern w:val="0"/>
                <w:sz w:val="21"/>
                <w:szCs w:val="21"/>
              </w:rPr>
              <w:t xml:space="preserve">        </w:t>
            </w:r>
            <w:r>
              <w:rPr>
                <w:rFonts w:eastAsia="仿宋_GB2312"/>
                <w:color w:val="000000"/>
                <w:kern w:val="0"/>
                <w:sz w:val="21"/>
                <w:szCs w:val="21"/>
              </w:rPr>
              <w:t>限公司</w:t>
            </w:r>
          </w:p>
        </w:tc>
        <w:tc>
          <w:tcPr>
            <w:tcW w:w="2157"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其他未列明制造业</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72000</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72000</w:t>
            </w:r>
          </w:p>
        </w:tc>
        <w:tc>
          <w:tcPr>
            <w:tcW w:w="996"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0.86</w:t>
            </w:r>
          </w:p>
        </w:tc>
        <w:tc>
          <w:tcPr>
            <w:tcW w:w="9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57" w:hRule="atLeast"/>
        </w:trPr>
        <w:tc>
          <w:tcPr>
            <w:tcW w:w="28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华润雪花啤酒（河北）有限公司</w:t>
            </w:r>
          </w:p>
        </w:tc>
        <w:tc>
          <w:tcPr>
            <w:tcW w:w="2157"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包装装潢及其他印刷</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600000</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600000</w:t>
            </w:r>
          </w:p>
        </w:tc>
        <w:tc>
          <w:tcPr>
            <w:tcW w:w="996"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150.00</w:t>
            </w:r>
          </w:p>
        </w:tc>
        <w:tc>
          <w:tcPr>
            <w:tcW w:w="9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5" w:hRule="atLeast"/>
        </w:trPr>
        <w:tc>
          <w:tcPr>
            <w:tcW w:w="28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远东（三河）电子有限公司</w:t>
            </w:r>
          </w:p>
        </w:tc>
        <w:tc>
          <w:tcPr>
            <w:tcW w:w="2157"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热力生产和供应</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25200</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25200</w:t>
            </w:r>
          </w:p>
        </w:tc>
        <w:tc>
          <w:tcPr>
            <w:tcW w:w="996"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0.39</w:t>
            </w:r>
          </w:p>
        </w:tc>
        <w:tc>
          <w:tcPr>
            <w:tcW w:w="9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trPr>
        <w:tc>
          <w:tcPr>
            <w:tcW w:w="28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河北神威药业有限公司</w:t>
            </w:r>
          </w:p>
        </w:tc>
        <w:tc>
          <w:tcPr>
            <w:tcW w:w="2157"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食用植物油加工</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10520</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10520</w:t>
            </w:r>
          </w:p>
        </w:tc>
        <w:tc>
          <w:tcPr>
            <w:tcW w:w="996"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1.85</w:t>
            </w:r>
          </w:p>
        </w:tc>
        <w:tc>
          <w:tcPr>
            <w:tcW w:w="9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trPr>
        <w:tc>
          <w:tcPr>
            <w:tcW w:w="28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中印印刷器材有限公司</w:t>
            </w:r>
          </w:p>
        </w:tc>
        <w:tc>
          <w:tcPr>
            <w:tcW w:w="2157"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啤酒制造</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1269</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1269</w:t>
            </w:r>
          </w:p>
        </w:tc>
        <w:tc>
          <w:tcPr>
            <w:tcW w:w="996"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0.14</w:t>
            </w:r>
          </w:p>
        </w:tc>
        <w:tc>
          <w:tcPr>
            <w:tcW w:w="9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5" w:hRule="atLeast"/>
        </w:trPr>
        <w:tc>
          <w:tcPr>
            <w:tcW w:w="28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永光制药有限公司</w:t>
            </w:r>
          </w:p>
        </w:tc>
        <w:tc>
          <w:tcPr>
            <w:tcW w:w="2157"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电子真空器件制造</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519</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519</w:t>
            </w:r>
          </w:p>
        </w:tc>
        <w:tc>
          <w:tcPr>
            <w:tcW w:w="996"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0.04</w:t>
            </w:r>
          </w:p>
        </w:tc>
        <w:tc>
          <w:tcPr>
            <w:tcW w:w="9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trPr>
        <w:tc>
          <w:tcPr>
            <w:tcW w:w="4957" w:type="dxa"/>
            <w:gridSpan w:val="2"/>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合计</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7601124</w:t>
            </w:r>
          </w:p>
        </w:tc>
        <w:tc>
          <w:tcPr>
            <w:tcW w:w="955"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7601124</w:t>
            </w:r>
          </w:p>
        </w:tc>
        <w:tc>
          <w:tcPr>
            <w:tcW w:w="996"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635.12</w:t>
            </w:r>
          </w:p>
        </w:tc>
        <w:tc>
          <w:tcPr>
            <w:tcW w:w="900"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90.44</w:t>
            </w:r>
          </w:p>
        </w:tc>
      </w:tr>
    </w:tbl>
    <w:p>
      <w:pPr>
        <w:adjustRightInd w:val="0"/>
        <w:snapToGrid w:val="0"/>
        <w:spacing w:before="97" w:beforeLines="30" w:line="590" w:lineRule="exact"/>
        <w:ind w:firstLine="640"/>
        <w:rPr>
          <w:rFonts w:eastAsia="仿宋_GB2312"/>
          <w:sz w:val="32"/>
          <w:szCs w:val="32"/>
        </w:rPr>
      </w:pPr>
      <w:r>
        <w:rPr>
          <w:rFonts w:eastAsia="仿宋_GB2312"/>
          <w:sz w:val="32"/>
          <w:szCs w:val="32"/>
        </w:rPr>
        <w:t>开发区目前已建成日处理能力5万吨的大型污水处理厂3座，同时正在对龙源水业有限公司5万吨污水处理厂进行提标改造，污水处理厂同时处理居民生活污水和工业废水。</w:t>
      </w:r>
    </w:p>
    <w:p>
      <w:pPr>
        <w:adjustRightInd w:val="0"/>
        <w:snapToGrid w:val="0"/>
        <w:spacing w:line="590" w:lineRule="exact"/>
        <w:ind w:firstLine="640"/>
        <w:rPr>
          <w:rFonts w:eastAsia="仿宋_GB2312"/>
          <w:sz w:val="32"/>
          <w:szCs w:val="32"/>
        </w:rPr>
      </w:pPr>
      <w:r>
        <w:rPr>
          <w:rFonts w:eastAsia="仿宋_GB2312"/>
          <w:sz w:val="32"/>
          <w:szCs w:val="32"/>
        </w:rPr>
        <w:t>（2）大厂高新技术产业开发区</w:t>
      </w:r>
    </w:p>
    <w:p>
      <w:pPr>
        <w:adjustRightInd w:val="0"/>
        <w:snapToGrid w:val="0"/>
        <w:spacing w:line="590" w:lineRule="exact"/>
        <w:ind w:firstLine="640"/>
        <w:rPr>
          <w:rFonts w:eastAsia="仿宋_GB2312"/>
          <w:sz w:val="32"/>
          <w:szCs w:val="32"/>
        </w:rPr>
      </w:pPr>
      <w:r>
        <w:rPr>
          <w:rFonts w:eastAsia="仿宋_GB2312"/>
          <w:sz w:val="32"/>
          <w:szCs w:val="32"/>
        </w:rPr>
        <w:t>大厂高新技术产业开发区包含大厂高端制造产业园、2个大厂潮白河现代产业园和大厂高新技术产业园，共有38家工业企业，4座污水处理厂（处理规模共1.9万吨/日），园区工业企业废水排放量为86.3万吨，COD排放量为41吨，氨氮排放量为1.2吨。大厂工业企业污水均需排入4个园区集中污水处理厂处理后排放，污水处理厂出水标准为一级A标准。</w:t>
      </w:r>
    </w:p>
    <w:p>
      <w:pPr>
        <w:adjustRightInd w:val="0"/>
        <w:snapToGrid w:val="0"/>
        <w:spacing w:line="590" w:lineRule="exact"/>
        <w:ind w:firstLine="640"/>
        <w:rPr>
          <w:rFonts w:eastAsia="仿宋_GB2312"/>
          <w:sz w:val="32"/>
          <w:szCs w:val="32"/>
        </w:rPr>
      </w:pPr>
      <w:r>
        <w:rPr>
          <w:rFonts w:eastAsia="仿宋_GB2312"/>
          <w:sz w:val="32"/>
          <w:szCs w:val="32"/>
        </w:rPr>
        <w:t>大厂潮白河现代产业园位于大厂县域西部的邵府镇和祁各庄镇。规划范围包括南区及北区。南区东至小东关村、西至田各庄、南至窝坨村、北至辛杜庄；北区东至尚各庄、西至双臼村、南至太平庄、北至牛万屯。规划用地共计16.07平方公里。确定总体的空间布局为南区依托潮白河，重点向北、向东发展，重点发展现代服务产业、现代科技产业和高新技术产业，注重完善功能、优化环境，提高土地利用率，形成以现代服务业为主的新区。北区主要在一分干渠以北，主要以一、二类工业为主的现代都市制造产业园，以汽车零部件和机械加工为主。目前，园区主要行业为汽车零部件和机械加工类，无高耗能、高污染类行业。</w:t>
      </w:r>
    </w:p>
    <w:p>
      <w:pPr>
        <w:adjustRightInd w:val="0"/>
        <w:snapToGrid w:val="0"/>
        <w:spacing w:line="590" w:lineRule="exact"/>
        <w:ind w:firstLine="640"/>
        <w:rPr>
          <w:rFonts w:eastAsia="仿宋_GB2312"/>
          <w:bCs/>
          <w:sz w:val="32"/>
          <w:szCs w:val="32"/>
        </w:rPr>
      </w:pPr>
      <w:r>
        <w:rPr>
          <w:rFonts w:eastAsia="仿宋_GB2312"/>
          <w:sz w:val="32"/>
          <w:szCs w:val="32"/>
        </w:rPr>
        <w:t>园区污水主要为园区企业生活污水及少量生产废水（涉及有生产废水排放企业已自建污水处理设施，处理达到进污水处理厂水质标准后，汇入市政管网）组成，目前园区已建成两座污水处理厂（南、北区污水处理厂）。设计日处理规模均为2000吨，园区企业污水通过市政管网收集，最终汇集到污水处理厂进行处理，出水水质达到《城镇污水处理厂污染物排放标准》（GB18918</w:t>
      </w:r>
      <w:r>
        <w:rPr>
          <w:rFonts w:hint="eastAsia" w:eastAsia="仿宋_GB2312"/>
          <w:sz w:val="32"/>
          <w:szCs w:val="32"/>
        </w:rPr>
        <w:t>—</w:t>
      </w:r>
      <w:r>
        <w:rPr>
          <w:rFonts w:eastAsia="仿宋_GB2312"/>
          <w:sz w:val="32"/>
          <w:szCs w:val="32"/>
        </w:rPr>
        <w:t>2002）中表1一级A标准要求。</w:t>
      </w:r>
      <w:r>
        <w:rPr>
          <w:rFonts w:eastAsia="仿宋_GB2312"/>
          <w:bCs/>
          <w:sz w:val="32"/>
          <w:szCs w:val="32"/>
        </w:rPr>
        <w:t>目前，园区污水处理厂出水及规划建设的潮白新区2万吨污水处理厂排水未排入潮白河。</w:t>
      </w:r>
    </w:p>
    <w:p>
      <w:pPr>
        <w:adjustRightInd w:val="0"/>
        <w:snapToGrid w:val="0"/>
        <w:spacing w:line="590" w:lineRule="exact"/>
        <w:ind w:firstLine="640"/>
        <w:rPr>
          <w:rFonts w:eastAsia="仿宋_GB2312"/>
          <w:sz w:val="32"/>
          <w:szCs w:val="32"/>
        </w:rPr>
      </w:pPr>
      <w:r>
        <w:rPr>
          <w:rFonts w:eastAsia="仿宋_GB2312"/>
          <w:sz w:val="32"/>
          <w:szCs w:val="32"/>
        </w:rPr>
        <w:t>（3）香河县潮白河流域内工业污染源情况</w:t>
      </w:r>
    </w:p>
    <w:p>
      <w:pPr>
        <w:adjustRightInd w:val="0"/>
        <w:snapToGrid w:val="0"/>
        <w:spacing w:line="590" w:lineRule="exact"/>
        <w:ind w:firstLine="640"/>
        <w:rPr>
          <w:rFonts w:eastAsia="仿宋_GB2312"/>
          <w:sz w:val="32"/>
          <w:szCs w:val="32"/>
        </w:rPr>
      </w:pPr>
      <w:r>
        <w:rPr>
          <w:rFonts w:eastAsia="仿宋_GB2312"/>
          <w:sz w:val="32"/>
          <w:szCs w:val="32"/>
        </w:rPr>
        <w:t>香河县潮白河流域分为两部分，即潮白河河堤内部分和排干渠集水范围部分。其中，堤内无工业污染源分布；排干渠集水范围内主要涉及蒋辛屯镇、新兴产业示范区和钱旺乡的部分区域。</w:t>
      </w:r>
    </w:p>
    <w:p>
      <w:pPr>
        <w:adjustRightInd w:val="0"/>
        <w:snapToGrid w:val="0"/>
        <w:spacing w:line="590" w:lineRule="exact"/>
        <w:ind w:firstLine="640"/>
        <w:rPr>
          <w:rFonts w:eastAsia="仿宋_GB2312"/>
          <w:sz w:val="32"/>
          <w:szCs w:val="32"/>
        </w:rPr>
      </w:pPr>
      <w:r>
        <w:rPr>
          <w:rFonts w:eastAsia="仿宋_GB2312"/>
          <w:sz w:val="32"/>
          <w:szCs w:val="32"/>
        </w:rPr>
        <w:t>根据2017年环境统计数据，流域内共分布5家工业企业，分别是香河县鹏宇家具有限公司、赛铭瑞汽车零部件（廊坊）有限公司、香河富士嘉利纸制品有限公司、香河县鑫良友家具厂、香河鑫嘉宜家私厂，分属木质家具制造、汽车零部件及配件制造和包装装潢及其他印刷行业，5家工业企业无废水排放。</w:t>
      </w:r>
    </w:p>
    <w:p>
      <w:pPr>
        <w:pStyle w:val="3"/>
        <w:spacing w:line="590" w:lineRule="exact"/>
        <w:ind w:firstLine="643"/>
        <w:rPr>
          <w:rFonts w:eastAsia="楷体_GB2312"/>
        </w:rPr>
      </w:pPr>
      <w:bookmarkStart w:id="340" w:name="_Toc460596343"/>
      <w:bookmarkStart w:id="341" w:name="_Toc23784082"/>
      <w:bookmarkStart w:id="342" w:name="_Toc24634"/>
      <w:bookmarkStart w:id="343" w:name="_Toc27094"/>
      <w:bookmarkStart w:id="344" w:name="_Toc7582"/>
      <w:bookmarkStart w:id="345" w:name="_Toc26483"/>
      <w:r>
        <w:rPr>
          <w:rFonts w:eastAsia="楷体_GB2312"/>
        </w:rPr>
        <w:t>4.2生活污染源</w:t>
      </w:r>
      <w:bookmarkEnd w:id="340"/>
      <w:bookmarkEnd w:id="341"/>
      <w:bookmarkEnd w:id="342"/>
      <w:bookmarkEnd w:id="343"/>
      <w:bookmarkEnd w:id="344"/>
      <w:bookmarkEnd w:id="345"/>
    </w:p>
    <w:p>
      <w:pPr>
        <w:adjustRightInd w:val="0"/>
        <w:snapToGrid w:val="0"/>
        <w:spacing w:line="590" w:lineRule="exact"/>
        <w:ind w:firstLine="640"/>
        <w:rPr>
          <w:rFonts w:eastAsia="仿宋_GB2312"/>
          <w:sz w:val="32"/>
          <w:szCs w:val="32"/>
        </w:rPr>
      </w:pPr>
      <w:r>
        <w:rPr>
          <w:rFonts w:eastAsia="仿宋_GB2312"/>
          <w:sz w:val="32"/>
          <w:szCs w:val="32"/>
        </w:rPr>
        <w:t>（1）供排水现状</w:t>
      </w:r>
    </w:p>
    <w:p>
      <w:pPr>
        <w:adjustRightInd w:val="0"/>
        <w:snapToGrid w:val="0"/>
        <w:spacing w:line="590" w:lineRule="exact"/>
        <w:ind w:firstLine="640"/>
        <w:rPr>
          <w:rFonts w:eastAsia="仿宋_GB2312"/>
          <w:sz w:val="32"/>
          <w:szCs w:val="32"/>
        </w:rPr>
      </w:pPr>
      <w:r>
        <w:rPr>
          <w:rFonts w:eastAsia="仿宋_GB2312"/>
          <w:sz w:val="32"/>
          <w:szCs w:val="32"/>
        </w:rPr>
        <w:t>燕郊地区全部依靠地下水水源供水，水资源供需比约为0.65，属于严重缺水城市，城市水资源供需矛盾非常突出。加之整体区域性缺水是华北所有城市必须面对的形势，北京、天津等特大城市有用水优先权，燕郊进一步发展必将面临的水资源不足的问题。燕郊地区仍存在自备井供水。</w:t>
      </w:r>
    </w:p>
    <w:p>
      <w:pPr>
        <w:adjustRightInd w:val="0"/>
        <w:snapToGrid w:val="0"/>
        <w:spacing w:line="590" w:lineRule="exact"/>
        <w:ind w:firstLine="640"/>
        <w:rPr>
          <w:rFonts w:eastAsia="仿宋_GB2312"/>
          <w:sz w:val="32"/>
          <w:szCs w:val="32"/>
        </w:rPr>
      </w:pPr>
      <w:r>
        <w:rPr>
          <w:rFonts w:eastAsia="仿宋_GB2312"/>
          <w:sz w:val="32"/>
          <w:szCs w:val="32"/>
        </w:rPr>
        <w:t>燕郊开发进程较快，人口导入迅速，目前居住人口约75万人。其中，约六成人口居住在燕郊地区西部（汉王路以西地区），其生活污水排水去向为潮白河。</w:t>
      </w:r>
    </w:p>
    <w:p>
      <w:pPr>
        <w:adjustRightInd w:val="0"/>
        <w:snapToGrid w:val="0"/>
        <w:spacing w:line="590" w:lineRule="exact"/>
        <w:ind w:firstLine="640"/>
        <w:rPr>
          <w:rFonts w:eastAsia="仿宋_GB2312"/>
          <w:sz w:val="32"/>
          <w:szCs w:val="32"/>
        </w:rPr>
      </w:pPr>
      <w:r>
        <w:rPr>
          <w:sz w:val="32"/>
          <w:szCs w:val="32"/>
        </w:rPr>
        <w:t>①</w:t>
      </w:r>
      <w:r>
        <w:rPr>
          <w:rFonts w:eastAsia="仿宋_GB2312"/>
          <w:sz w:val="32"/>
          <w:szCs w:val="32"/>
        </w:rPr>
        <w:t>供水现状</w:t>
      </w:r>
    </w:p>
    <w:p>
      <w:pPr>
        <w:adjustRightInd w:val="0"/>
        <w:snapToGrid w:val="0"/>
        <w:spacing w:line="590" w:lineRule="exact"/>
        <w:ind w:firstLine="640"/>
        <w:rPr>
          <w:rFonts w:eastAsia="仿宋_GB2312"/>
          <w:sz w:val="32"/>
          <w:szCs w:val="32"/>
        </w:rPr>
      </w:pPr>
      <w:r>
        <w:rPr>
          <w:rFonts w:eastAsia="仿宋_GB2312"/>
          <w:sz w:val="32"/>
          <w:szCs w:val="32"/>
        </w:rPr>
        <w:t>根据燕郊自来水用水量（2014年）数据，人均综合用水量为220升/（人·日），以此推算，燕郊地区居民生活总用水量为16.5万吨/日，其中涉及潮白河地区的居民生活用水量为9.9万吨/日。</w:t>
      </w:r>
    </w:p>
    <w:p>
      <w:pPr>
        <w:adjustRightInd w:val="0"/>
        <w:snapToGrid w:val="0"/>
        <w:spacing w:line="590" w:lineRule="exact"/>
        <w:ind w:firstLine="640"/>
        <w:rPr>
          <w:rFonts w:eastAsia="仿宋_GB2312"/>
          <w:sz w:val="32"/>
          <w:szCs w:val="32"/>
        </w:rPr>
      </w:pPr>
      <w:r>
        <w:rPr>
          <w:sz w:val="32"/>
          <w:szCs w:val="32"/>
        </w:rPr>
        <w:t>②</w:t>
      </w:r>
      <w:r>
        <w:rPr>
          <w:rFonts w:eastAsia="仿宋_GB2312"/>
          <w:sz w:val="32"/>
          <w:szCs w:val="32"/>
        </w:rPr>
        <w:t>排水现状</w:t>
      </w:r>
    </w:p>
    <w:p>
      <w:pPr>
        <w:adjustRightInd w:val="0"/>
        <w:snapToGrid w:val="0"/>
        <w:spacing w:line="590" w:lineRule="exact"/>
        <w:ind w:firstLine="640"/>
        <w:rPr>
          <w:rFonts w:eastAsia="仿宋_GB2312"/>
          <w:sz w:val="32"/>
          <w:szCs w:val="32"/>
        </w:rPr>
      </w:pPr>
      <w:r>
        <w:rPr>
          <w:rFonts w:eastAsia="仿宋_GB2312"/>
          <w:sz w:val="32"/>
          <w:szCs w:val="32"/>
        </w:rPr>
        <w:t>根据《城市排水工程规划规范》，城市排放系数根据城市居住、公共设施和分类工业用地的布局进行确定，参见下表。</w:t>
      </w:r>
    </w:p>
    <w:p>
      <w:pPr>
        <w:spacing w:before="163" w:beforeLines="50" w:after="163" w:afterLines="50" w:line="240" w:lineRule="auto"/>
        <w:ind w:firstLine="0" w:firstLineChars="0"/>
        <w:jc w:val="center"/>
        <w:rPr>
          <w:rFonts w:eastAsia="黑体"/>
          <w:sz w:val="32"/>
          <w:szCs w:val="32"/>
        </w:rPr>
      </w:pPr>
      <w:r>
        <w:rPr>
          <w:rFonts w:eastAsia="黑体"/>
          <w:sz w:val="32"/>
          <w:szCs w:val="32"/>
        </w:rPr>
        <w:t>表4</w:t>
      </w:r>
      <w:r>
        <w:rPr>
          <w:rFonts w:hint="eastAsia" w:eastAsia="黑体"/>
          <w:sz w:val="32"/>
          <w:szCs w:val="32"/>
        </w:rPr>
        <w:t>-</w:t>
      </w:r>
      <w:r>
        <w:rPr>
          <w:rFonts w:eastAsia="黑体"/>
          <w:sz w:val="32"/>
          <w:szCs w:val="32"/>
        </w:rPr>
        <w:t>2　城市分类污水排放系数</w:t>
      </w:r>
    </w:p>
    <w:tbl>
      <w:tblPr>
        <w:tblStyle w:val="13"/>
        <w:tblW w:w="877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48"/>
        <w:gridCol w:w="4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7" w:hRule="exact"/>
        </w:trPr>
        <w:tc>
          <w:tcPr>
            <w:tcW w:w="3948" w:type="dxa"/>
            <w:vAlign w:val="center"/>
          </w:tcPr>
          <w:p>
            <w:pPr>
              <w:pStyle w:val="18"/>
              <w:spacing w:afterLines="0" w:line="240" w:lineRule="auto"/>
              <w:ind w:left="0" w:leftChars="0" w:firstLine="0" w:firstLineChars="0"/>
              <w:jc w:val="center"/>
              <w:rPr>
                <w:rFonts w:ascii="Times New Roman" w:hAnsi="Times New Roman"/>
                <w:b/>
                <w:sz w:val="21"/>
                <w:szCs w:val="21"/>
              </w:rPr>
            </w:pPr>
            <w:r>
              <w:rPr>
                <w:rFonts w:ascii="Times New Roman" w:hAnsi="Times New Roman"/>
                <w:b/>
                <w:sz w:val="21"/>
                <w:szCs w:val="21"/>
              </w:rPr>
              <w:t>城市污水分类</w:t>
            </w:r>
          </w:p>
        </w:tc>
        <w:tc>
          <w:tcPr>
            <w:tcW w:w="4831" w:type="dxa"/>
            <w:vAlign w:val="center"/>
          </w:tcPr>
          <w:p>
            <w:pPr>
              <w:pStyle w:val="18"/>
              <w:spacing w:afterLines="0" w:line="240" w:lineRule="auto"/>
              <w:ind w:left="0" w:leftChars="0" w:firstLine="0" w:firstLineChars="0"/>
              <w:jc w:val="center"/>
              <w:rPr>
                <w:rFonts w:ascii="Times New Roman" w:hAnsi="Times New Roman"/>
                <w:b/>
                <w:sz w:val="21"/>
                <w:szCs w:val="21"/>
              </w:rPr>
            </w:pPr>
            <w:r>
              <w:rPr>
                <w:rFonts w:ascii="Times New Roman" w:hAnsi="Times New Roman"/>
                <w:b/>
                <w:sz w:val="21"/>
                <w:szCs w:val="21"/>
              </w:rPr>
              <w:t>污水排放系数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7" w:hRule="exact"/>
        </w:trPr>
        <w:tc>
          <w:tcPr>
            <w:tcW w:w="3948" w:type="dxa"/>
            <w:vAlign w:val="center"/>
          </w:tcPr>
          <w:p>
            <w:pPr>
              <w:pStyle w:val="18"/>
              <w:spacing w:afterLines="0" w:line="240" w:lineRule="auto"/>
              <w:ind w:left="0" w:leftChars="0" w:firstLine="0" w:firstLineChars="0"/>
              <w:jc w:val="center"/>
              <w:rPr>
                <w:rFonts w:ascii="Times New Roman" w:hAnsi="Times New Roman"/>
                <w:sz w:val="21"/>
                <w:szCs w:val="21"/>
              </w:rPr>
            </w:pPr>
            <w:r>
              <w:rPr>
                <w:rFonts w:ascii="Times New Roman" w:hAnsi="Times New Roman"/>
                <w:sz w:val="21"/>
                <w:szCs w:val="21"/>
              </w:rPr>
              <w:t>城市污水</w:t>
            </w:r>
          </w:p>
        </w:tc>
        <w:tc>
          <w:tcPr>
            <w:tcW w:w="4831" w:type="dxa"/>
            <w:vAlign w:val="center"/>
          </w:tcPr>
          <w:p>
            <w:pPr>
              <w:pStyle w:val="18"/>
              <w:spacing w:afterLines="0" w:line="240" w:lineRule="auto"/>
              <w:ind w:left="0" w:leftChars="0" w:firstLine="0" w:firstLineChars="0"/>
              <w:jc w:val="center"/>
              <w:rPr>
                <w:rFonts w:ascii="Times New Roman" w:hAnsi="Times New Roman"/>
                <w:sz w:val="21"/>
                <w:szCs w:val="21"/>
              </w:rPr>
            </w:pPr>
            <w:r>
              <w:rPr>
                <w:rFonts w:ascii="Times New Roman" w:hAnsi="Times New Roman"/>
                <w:sz w:val="21"/>
                <w:szCs w:val="21"/>
              </w:rPr>
              <w:t>0.70</w:t>
            </w:r>
            <w:r>
              <w:rPr>
                <w:rFonts w:hint="eastAsia" w:ascii="Times New Roman" w:hAnsi="Times New Roman"/>
                <w:sz w:val="21"/>
                <w:szCs w:val="21"/>
                <w:lang w:eastAsia="zh-CN"/>
              </w:rPr>
              <w:t>—</w:t>
            </w:r>
            <w:r>
              <w:rPr>
                <w:rFonts w:ascii="Times New Roman" w:hAnsi="Times New Roman"/>
                <w:sz w:val="21"/>
                <w:szCs w:val="21"/>
              </w:rPr>
              <w:t>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7" w:hRule="exact"/>
        </w:trPr>
        <w:tc>
          <w:tcPr>
            <w:tcW w:w="3948" w:type="dxa"/>
            <w:vAlign w:val="center"/>
          </w:tcPr>
          <w:p>
            <w:pPr>
              <w:pStyle w:val="18"/>
              <w:spacing w:afterLines="0" w:line="240" w:lineRule="auto"/>
              <w:ind w:left="0" w:leftChars="0" w:firstLine="0" w:firstLineChars="0"/>
              <w:jc w:val="center"/>
              <w:rPr>
                <w:rFonts w:ascii="Times New Roman" w:hAnsi="Times New Roman"/>
                <w:sz w:val="21"/>
                <w:szCs w:val="21"/>
              </w:rPr>
            </w:pPr>
            <w:r>
              <w:rPr>
                <w:rFonts w:ascii="Times New Roman" w:hAnsi="Times New Roman"/>
                <w:sz w:val="21"/>
                <w:szCs w:val="21"/>
              </w:rPr>
              <w:t>城市综合生活污水</w:t>
            </w:r>
          </w:p>
        </w:tc>
        <w:tc>
          <w:tcPr>
            <w:tcW w:w="4831" w:type="dxa"/>
            <w:vAlign w:val="center"/>
          </w:tcPr>
          <w:p>
            <w:pPr>
              <w:pStyle w:val="18"/>
              <w:spacing w:afterLines="0" w:line="240" w:lineRule="auto"/>
              <w:ind w:left="0" w:leftChars="0" w:firstLine="0" w:firstLineChars="0"/>
              <w:jc w:val="center"/>
              <w:rPr>
                <w:rFonts w:ascii="Times New Roman" w:hAnsi="Times New Roman"/>
                <w:sz w:val="21"/>
                <w:szCs w:val="21"/>
              </w:rPr>
            </w:pPr>
            <w:r>
              <w:rPr>
                <w:rFonts w:ascii="Times New Roman" w:hAnsi="Times New Roman"/>
                <w:sz w:val="21"/>
                <w:szCs w:val="21"/>
              </w:rPr>
              <w:t>0.80</w:t>
            </w:r>
            <w:r>
              <w:rPr>
                <w:rFonts w:hint="eastAsia" w:ascii="Times New Roman" w:hAnsi="Times New Roman"/>
                <w:sz w:val="21"/>
                <w:szCs w:val="21"/>
                <w:lang w:eastAsia="zh-CN"/>
              </w:rPr>
              <w:t>—</w:t>
            </w:r>
            <w:r>
              <w:rPr>
                <w:rFonts w:ascii="Times New Roman" w:hAnsi="Times New Roman"/>
                <w:sz w:val="21"/>
                <w:szCs w:val="21"/>
              </w:rPr>
              <w:t>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7" w:hRule="exact"/>
        </w:trPr>
        <w:tc>
          <w:tcPr>
            <w:tcW w:w="3948" w:type="dxa"/>
            <w:vAlign w:val="center"/>
          </w:tcPr>
          <w:p>
            <w:pPr>
              <w:pStyle w:val="18"/>
              <w:spacing w:afterLines="0" w:line="240" w:lineRule="auto"/>
              <w:ind w:left="0" w:leftChars="0" w:firstLine="0" w:firstLineChars="0"/>
              <w:jc w:val="center"/>
              <w:rPr>
                <w:rFonts w:ascii="Times New Roman" w:hAnsi="Times New Roman"/>
                <w:sz w:val="21"/>
                <w:szCs w:val="21"/>
              </w:rPr>
            </w:pPr>
            <w:r>
              <w:rPr>
                <w:rFonts w:ascii="Times New Roman" w:hAnsi="Times New Roman"/>
                <w:sz w:val="21"/>
                <w:szCs w:val="21"/>
              </w:rPr>
              <w:t>城市工业废水</w:t>
            </w:r>
          </w:p>
        </w:tc>
        <w:tc>
          <w:tcPr>
            <w:tcW w:w="4831" w:type="dxa"/>
            <w:vAlign w:val="center"/>
          </w:tcPr>
          <w:p>
            <w:pPr>
              <w:pStyle w:val="18"/>
              <w:spacing w:afterLines="0" w:line="240" w:lineRule="auto"/>
              <w:ind w:left="0" w:leftChars="0" w:firstLine="0" w:firstLineChars="0"/>
              <w:jc w:val="center"/>
              <w:rPr>
                <w:rFonts w:ascii="Times New Roman" w:hAnsi="Times New Roman"/>
                <w:sz w:val="21"/>
                <w:szCs w:val="21"/>
              </w:rPr>
            </w:pPr>
            <w:r>
              <w:rPr>
                <w:rFonts w:ascii="Times New Roman" w:hAnsi="Times New Roman"/>
                <w:sz w:val="21"/>
                <w:szCs w:val="21"/>
              </w:rPr>
              <w:t>0.70</w:t>
            </w:r>
            <w:r>
              <w:rPr>
                <w:rFonts w:hint="eastAsia" w:ascii="Times New Roman" w:hAnsi="Times New Roman"/>
                <w:sz w:val="21"/>
                <w:szCs w:val="21"/>
                <w:lang w:eastAsia="zh-CN"/>
              </w:rPr>
              <w:t>—</w:t>
            </w:r>
            <w:r>
              <w:rPr>
                <w:rFonts w:ascii="Times New Roman" w:hAnsi="Times New Roman"/>
                <w:sz w:val="21"/>
                <w:szCs w:val="21"/>
              </w:rPr>
              <w:t>0.90</w:t>
            </w:r>
          </w:p>
        </w:tc>
      </w:tr>
    </w:tbl>
    <w:p>
      <w:pPr>
        <w:spacing w:before="163" w:beforeLines="50" w:line="584" w:lineRule="exact"/>
        <w:ind w:firstLine="640"/>
        <w:rPr>
          <w:rFonts w:eastAsia="仿宋_GB2312"/>
          <w:sz w:val="32"/>
          <w:szCs w:val="32"/>
        </w:rPr>
      </w:pPr>
      <w:r>
        <w:rPr>
          <w:rFonts w:eastAsia="仿宋_GB2312"/>
          <w:sz w:val="32"/>
          <w:szCs w:val="32"/>
        </w:rPr>
        <w:t>指标的选取参照条件相似及周边地区经验，本方案污水排放系数按照不同用地性质取0.85。燕郊地区地下水水位较低，不计入地下水渗入量。因此，燕郊地区现状居民生活污水产生量约为14.0万吨/日，其中涉及潮白河的西部地区的居民生污水产生量为8.4万吨/日。</w:t>
      </w:r>
    </w:p>
    <w:p>
      <w:pPr>
        <w:spacing w:line="584" w:lineRule="exact"/>
        <w:ind w:firstLine="640"/>
        <w:rPr>
          <w:rFonts w:eastAsia="仿宋_GB2312"/>
          <w:sz w:val="32"/>
          <w:szCs w:val="32"/>
        </w:rPr>
      </w:pPr>
      <w:r>
        <w:rPr>
          <w:sz w:val="32"/>
          <w:szCs w:val="32"/>
        </w:rPr>
        <w:t>③</w:t>
      </w:r>
      <w:r>
        <w:rPr>
          <w:rFonts w:eastAsia="仿宋_GB2312"/>
          <w:sz w:val="32"/>
          <w:szCs w:val="32"/>
        </w:rPr>
        <w:t>污水处理现状</w:t>
      </w:r>
    </w:p>
    <w:p>
      <w:pPr>
        <w:spacing w:line="584" w:lineRule="exact"/>
        <w:ind w:firstLine="640"/>
        <w:rPr>
          <w:rFonts w:eastAsia="仿宋_GB2312"/>
          <w:sz w:val="32"/>
          <w:szCs w:val="32"/>
        </w:rPr>
      </w:pPr>
      <w:r>
        <w:rPr>
          <w:rFonts w:eastAsia="仿宋_GB2312"/>
          <w:sz w:val="32"/>
          <w:szCs w:val="32"/>
        </w:rPr>
        <w:t>燕郊的污水和雨水系统由开发区市政公司建设、经营和管理，已建有污水处理厂3座和2处临时过渡性污水处理设施。</w:t>
      </w:r>
    </w:p>
    <w:p>
      <w:pPr>
        <w:spacing w:line="584" w:lineRule="exact"/>
        <w:ind w:firstLine="640"/>
        <w:rPr>
          <w:rFonts w:eastAsia="仿宋_GB2312"/>
          <w:sz w:val="32"/>
          <w:szCs w:val="32"/>
        </w:rPr>
      </w:pPr>
      <w:r>
        <w:rPr>
          <w:rFonts w:eastAsia="仿宋_GB2312"/>
          <w:sz w:val="32"/>
          <w:szCs w:val="32"/>
        </w:rPr>
        <w:t>燕郊西污水处理厂，于2008年3月建成投入试运行，位于南外环路潮白河大堤交界处，现状用地2.915公顷。燕郊西污水处理厂建设规模为日处理生活污水和工业废水5万吨，处理后的污水达到国家二级排放标准，出水主要用于三河电厂冷却用水。</w:t>
      </w:r>
    </w:p>
    <w:p>
      <w:pPr>
        <w:spacing w:line="584" w:lineRule="exact"/>
        <w:ind w:firstLine="640"/>
        <w:rPr>
          <w:rFonts w:eastAsia="仿宋_GB2312"/>
          <w:sz w:val="32"/>
          <w:szCs w:val="32"/>
        </w:rPr>
      </w:pPr>
      <w:r>
        <w:rPr>
          <w:rFonts w:eastAsia="仿宋_GB2312"/>
          <w:sz w:val="32"/>
          <w:szCs w:val="32"/>
        </w:rPr>
        <w:t>污水处理厂污水处理工艺采用水解－改良型间歇式活性污泥组合工艺。主要构筑物有粗格栅、进水泵房、细格栅及曝气沉砂池、水解池、改良型SBR池、紫外线消毒池、贮泥池等，工艺流程图见下图：</w:t>
      </w:r>
    </w:p>
    <w:p>
      <w:pPr>
        <w:spacing w:after="120" w:line="240" w:lineRule="auto"/>
        <w:ind w:firstLine="0" w:firstLineChars="0"/>
        <w:rPr>
          <w:rFonts w:eastAsia="仿宋_GB2312"/>
          <w:sz w:val="32"/>
          <w:szCs w:val="32"/>
        </w:rPr>
      </w:pPr>
      <w:r>
        <w:drawing>
          <wp:inline distT="0" distB="0" distL="114300" distR="114300">
            <wp:extent cx="5639435" cy="3328035"/>
            <wp:effectExtent l="0" t="0" r="18415" b="5715"/>
            <wp:docPr id="12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90"/>
                    <pic:cNvPicPr>
                      <a:picLocks noChangeAspect="1"/>
                    </pic:cNvPicPr>
                  </pic:nvPicPr>
                  <pic:blipFill>
                    <a:blip r:embed="rId51"/>
                    <a:stretch>
                      <a:fillRect/>
                    </a:stretch>
                  </pic:blipFill>
                  <pic:spPr>
                    <a:xfrm>
                      <a:off x="0" y="0"/>
                      <a:ext cx="5639435" cy="3328035"/>
                    </a:xfrm>
                    <a:prstGeom prst="rect">
                      <a:avLst/>
                    </a:prstGeom>
                    <a:noFill/>
                    <a:ln w="9525">
                      <a:noFill/>
                    </a:ln>
                  </pic:spPr>
                </pic:pic>
              </a:graphicData>
            </a:graphic>
          </wp:inline>
        </w:drawing>
      </w:r>
    </w:p>
    <w:p>
      <w:pPr>
        <w:spacing w:after="163" w:afterLines="50" w:line="240" w:lineRule="auto"/>
        <w:ind w:firstLine="0" w:firstLineChars="0"/>
        <w:jc w:val="center"/>
        <w:rPr>
          <w:rFonts w:eastAsia="仿宋_GB2312"/>
          <w:b/>
        </w:rPr>
      </w:pPr>
      <w:r>
        <w:rPr>
          <w:rFonts w:eastAsia="仿宋_GB2312"/>
          <w:b/>
        </w:rPr>
        <w:t>图4</w:t>
      </w:r>
      <w:r>
        <w:rPr>
          <w:rFonts w:hint="eastAsia" w:eastAsia="仿宋_GB2312"/>
          <w:b/>
        </w:rPr>
        <w:t>-</w:t>
      </w:r>
      <w:r>
        <w:rPr>
          <w:rFonts w:eastAsia="仿宋_GB2312"/>
          <w:b/>
        </w:rPr>
        <w:t>1　第二污水处理厂工艺流程图</w:t>
      </w:r>
    </w:p>
    <w:p>
      <w:pPr>
        <w:spacing w:line="600" w:lineRule="exact"/>
        <w:ind w:firstLine="640"/>
        <w:rPr>
          <w:rFonts w:eastAsia="仿宋_GB2312"/>
          <w:sz w:val="32"/>
          <w:szCs w:val="32"/>
        </w:rPr>
      </w:pPr>
      <w:r>
        <w:rPr>
          <w:rFonts w:eastAsia="仿宋_GB2312"/>
          <w:sz w:val="32"/>
          <w:szCs w:val="32"/>
        </w:rPr>
        <w:t>燕郊西污水处理厂于2018年进行了扩容，新建了5万吨/日的处理能力，出水水质达到北京市《城镇污水处理厂污染物排放标准》（DB11/890</w:t>
      </w:r>
      <w:r>
        <w:rPr>
          <w:rFonts w:hint="eastAsia" w:eastAsia="仿宋_GB2312"/>
          <w:sz w:val="32"/>
          <w:szCs w:val="32"/>
        </w:rPr>
        <w:t>—</w:t>
      </w:r>
      <w:r>
        <w:rPr>
          <w:rFonts w:eastAsia="仿宋_GB2312"/>
          <w:sz w:val="32"/>
          <w:szCs w:val="32"/>
        </w:rPr>
        <w:t>2012）B标准。</w:t>
      </w:r>
    </w:p>
    <w:p>
      <w:pPr>
        <w:spacing w:line="600" w:lineRule="exact"/>
        <w:ind w:firstLine="640"/>
        <w:rPr>
          <w:rFonts w:eastAsia="仿宋_GB2312"/>
          <w:sz w:val="32"/>
          <w:szCs w:val="32"/>
        </w:rPr>
      </w:pPr>
      <w:r>
        <w:rPr>
          <w:rFonts w:eastAsia="仿宋_GB2312"/>
          <w:sz w:val="32"/>
          <w:szCs w:val="32"/>
        </w:rPr>
        <w:t>燕郊城南污水处理厂于2013年7月建成投入试运行，位于三河市燕郊高新区京秦铁路南侧，东柳河屯村东侧，现状用地85亩。污水处理厂采用A²O处理工艺，设计规模为日处理生活污水5万吨，处理后的污水达到国家一级A标准，可作为中水回用于工业企业，本污水处理厂排放的尾水部分回用于三河发电有限责任公司，其余排入尹家沟。</w:t>
      </w:r>
    </w:p>
    <w:p>
      <w:pPr>
        <w:spacing w:line="600" w:lineRule="exact"/>
        <w:ind w:firstLine="640"/>
        <w:rPr>
          <w:rFonts w:eastAsia="仿宋_GB2312"/>
          <w:sz w:val="32"/>
          <w:szCs w:val="32"/>
        </w:rPr>
      </w:pPr>
      <w:r>
        <w:rPr>
          <w:rFonts w:eastAsia="仿宋_GB2312"/>
          <w:sz w:val="32"/>
          <w:szCs w:val="32"/>
        </w:rPr>
        <w:t>2018年针对京榆旧路排水口、生态园排水口的生活污水处理，在京榆旧路北侧、燕龙生态园南侧各建有一处过渡性污水处理设施，总处理能力5万吨/日，仅能去除污水中的TP、SS和COD。</w:t>
      </w:r>
    </w:p>
    <w:p>
      <w:pPr>
        <w:spacing w:line="600" w:lineRule="exact"/>
        <w:ind w:firstLine="640"/>
        <w:rPr>
          <w:rFonts w:eastAsia="仿宋_GB2312"/>
          <w:sz w:val="32"/>
          <w:szCs w:val="32"/>
        </w:rPr>
      </w:pPr>
      <w:r>
        <w:rPr>
          <w:rFonts w:eastAsia="仿宋_GB2312"/>
          <w:sz w:val="32"/>
          <w:szCs w:val="32"/>
        </w:rPr>
        <w:t>2018年在燕郊北部新建燕郊北污水处理厂，采用FBC+ A²</w:t>
      </w:r>
      <w:r>
        <w:rPr>
          <w:rFonts w:hint="eastAsia" w:eastAsia="仿宋_GB2312"/>
          <w:sz w:val="32"/>
          <w:szCs w:val="32"/>
        </w:rPr>
        <w:t>O</w:t>
      </w:r>
      <w:r>
        <w:rPr>
          <w:rFonts w:eastAsia="仿宋_GB2312"/>
          <w:sz w:val="32"/>
          <w:szCs w:val="32"/>
        </w:rPr>
        <w:t>+MBR工艺，新建燕郊北污水处理厂，日处理能力5万吨，出水水质达到京B标准。</w:t>
      </w:r>
    </w:p>
    <w:p>
      <w:pPr>
        <w:spacing w:line="600" w:lineRule="exact"/>
        <w:ind w:firstLine="640"/>
        <w:rPr>
          <w:rFonts w:eastAsia="仿宋_GB2312"/>
          <w:sz w:val="32"/>
          <w:szCs w:val="32"/>
        </w:rPr>
      </w:pPr>
      <w:r>
        <w:rPr>
          <w:rFonts w:eastAsia="仿宋_GB2312"/>
          <w:sz w:val="32"/>
          <w:szCs w:val="32"/>
        </w:rPr>
        <w:t>综上，三河市燕郊地区污水处理厂处理能力共25万吨/日（5万吨/日为临时过渡性污水处理设施），污水处理厂处理能力基本能满足燕郊地区的生活污水处理。</w:t>
      </w:r>
    </w:p>
    <w:p>
      <w:pPr>
        <w:spacing w:line="600" w:lineRule="exact"/>
        <w:ind w:firstLine="640"/>
        <w:rPr>
          <w:rFonts w:eastAsia="仿宋_GB2312"/>
          <w:sz w:val="32"/>
          <w:szCs w:val="32"/>
        </w:rPr>
      </w:pPr>
      <w:r>
        <w:rPr>
          <w:rFonts w:eastAsia="仿宋_GB2312"/>
          <w:sz w:val="32"/>
          <w:szCs w:val="32"/>
        </w:rPr>
        <w:t>（2）排水量预测</w:t>
      </w:r>
    </w:p>
    <w:p>
      <w:pPr>
        <w:spacing w:line="600" w:lineRule="exact"/>
        <w:ind w:firstLine="664"/>
        <w:rPr>
          <w:rFonts w:eastAsia="仿宋_GB2312"/>
          <w:spacing w:val="6"/>
          <w:sz w:val="32"/>
          <w:szCs w:val="32"/>
        </w:rPr>
      </w:pPr>
      <w:r>
        <w:rPr>
          <w:rFonts w:eastAsia="仿宋_GB2312"/>
          <w:spacing w:val="6"/>
          <w:sz w:val="32"/>
          <w:szCs w:val="32"/>
        </w:rPr>
        <w:t>随着京津冀一体化发展和通州区的北京城市副中心建设，基于燕郊地区所处的地理位置，人口预计将持续增长。根据三河市城乡总体规划，燕郊城区到2020年人口为85万。</w:t>
      </w:r>
    </w:p>
    <w:p>
      <w:pPr>
        <w:spacing w:line="600" w:lineRule="exact"/>
        <w:ind w:firstLine="640"/>
        <w:rPr>
          <w:rFonts w:eastAsia="仿宋_GB2312"/>
          <w:sz w:val="32"/>
          <w:szCs w:val="32"/>
        </w:rPr>
      </w:pPr>
      <w:r>
        <w:rPr>
          <w:rFonts w:eastAsia="仿宋_GB2312"/>
          <w:sz w:val="32"/>
          <w:szCs w:val="32"/>
        </w:rPr>
        <w:t>同时，居民生活用水量水平也将不断提高。但随着国家关于节水城市建设和相关节水政策的推进，现代城市提倡“低碳城市，节约用水”，同时考虑到居住实际用地面积和规划面积之间的差异，节水型器具等节水设施的普及，用水指标随着生活水平升高不会无限制的增长。</w:t>
      </w:r>
    </w:p>
    <w:p>
      <w:pPr>
        <w:spacing w:after="97" w:afterLines="30" w:line="240" w:lineRule="auto"/>
        <w:ind w:firstLine="0" w:firstLineChars="0"/>
        <w:jc w:val="center"/>
        <w:rPr>
          <w:rFonts w:ascii="黑体" w:hAnsi="黑体" w:eastAsia="黑体"/>
          <w:sz w:val="32"/>
          <w:szCs w:val="32"/>
        </w:rPr>
      </w:pPr>
      <w:r>
        <w:rPr>
          <w:rFonts w:ascii="黑体" w:hAnsi="黑体" w:eastAsia="黑体"/>
          <w:sz w:val="32"/>
          <w:szCs w:val="32"/>
        </w:rPr>
        <w:t>表</w:t>
      </w:r>
      <w:r>
        <w:rPr>
          <w:rFonts w:eastAsia="黑体" w:cs="Times New Roman"/>
          <w:sz w:val="32"/>
          <w:szCs w:val="32"/>
        </w:rPr>
        <w:t>4-3</w:t>
      </w:r>
      <w:r>
        <w:rPr>
          <w:rFonts w:ascii="黑体" w:hAnsi="黑体" w:eastAsia="黑体"/>
          <w:sz w:val="32"/>
          <w:szCs w:val="32"/>
        </w:rPr>
        <w:t>　居民生活用水量指标数据汇总</w:t>
      </w:r>
    </w:p>
    <w:tbl>
      <w:tblPr>
        <w:tblStyle w:val="13"/>
        <w:tblW w:w="8812"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725"/>
        <w:gridCol w:w="2004"/>
        <w:gridCol w:w="20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3" w:hRule="atLeast"/>
          <w:tblHeader/>
        </w:trPr>
        <w:tc>
          <w:tcPr>
            <w:tcW w:w="4725" w:type="dxa"/>
            <w:tcMar>
              <w:top w:w="0" w:type="dxa"/>
              <w:left w:w="0" w:type="dxa"/>
              <w:bottom w:w="0" w:type="dxa"/>
              <w:right w:w="0" w:type="dxa"/>
            </w:tcMar>
            <w:vAlign w:val="center"/>
          </w:tcPr>
          <w:p>
            <w:pPr>
              <w:widowControl/>
              <w:spacing w:line="240" w:lineRule="auto"/>
              <w:ind w:firstLine="0" w:firstLineChars="0"/>
              <w:jc w:val="center"/>
              <w:rPr>
                <w:rFonts w:eastAsia="仿宋_GB2312"/>
                <w:b/>
                <w:kern w:val="0"/>
                <w:sz w:val="21"/>
                <w:szCs w:val="21"/>
              </w:rPr>
            </w:pPr>
            <w:r>
              <w:rPr>
                <w:rFonts w:eastAsia="仿宋_GB2312"/>
                <w:b/>
                <w:bCs/>
                <w:kern w:val="24"/>
                <w:sz w:val="21"/>
                <w:szCs w:val="21"/>
              </w:rPr>
              <w:t>数据范围和时间</w:t>
            </w:r>
          </w:p>
        </w:tc>
        <w:tc>
          <w:tcPr>
            <w:tcW w:w="2004" w:type="dxa"/>
            <w:tcMar>
              <w:top w:w="0" w:type="dxa"/>
              <w:left w:w="0" w:type="dxa"/>
              <w:bottom w:w="0" w:type="dxa"/>
              <w:right w:w="0" w:type="dxa"/>
            </w:tcMar>
            <w:vAlign w:val="center"/>
          </w:tcPr>
          <w:p>
            <w:pPr>
              <w:widowControl/>
              <w:spacing w:line="240" w:lineRule="auto"/>
              <w:ind w:firstLine="0" w:firstLineChars="0"/>
              <w:jc w:val="center"/>
              <w:rPr>
                <w:rFonts w:eastAsia="仿宋_GB2312"/>
                <w:b/>
                <w:kern w:val="0"/>
                <w:sz w:val="21"/>
                <w:szCs w:val="21"/>
              </w:rPr>
            </w:pPr>
            <w:r>
              <w:rPr>
                <w:rFonts w:eastAsia="仿宋_GB2312"/>
                <w:b/>
                <w:bCs/>
                <w:kern w:val="24"/>
                <w:sz w:val="21"/>
                <w:szCs w:val="21"/>
              </w:rPr>
              <w:t>人均综合用水量</w:t>
            </w:r>
          </w:p>
        </w:tc>
        <w:tc>
          <w:tcPr>
            <w:tcW w:w="2083" w:type="dxa"/>
            <w:tcMar>
              <w:top w:w="0" w:type="dxa"/>
              <w:left w:w="0" w:type="dxa"/>
              <w:bottom w:w="0" w:type="dxa"/>
              <w:right w:w="0" w:type="dxa"/>
            </w:tcMar>
            <w:vAlign w:val="center"/>
          </w:tcPr>
          <w:p>
            <w:pPr>
              <w:widowControl/>
              <w:spacing w:line="240" w:lineRule="auto"/>
              <w:ind w:firstLine="0" w:firstLineChars="0"/>
              <w:jc w:val="center"/>
              <w:rPr>
                <w:rFonts w:eastAsia="仿宋_GB2312"/>
                <w:b/>
                <w:kern w:val="0"/>
                <w:sz w:val="21"/>
                <w:szCs w:val="21"/>
              </w:rPr>
            </w:pPr>
            <w:r>
              <w:rPr>
                <w:rFonts w:eastAsia="仿宋_GB2312"/>
                <w:b/>
                <w:bCs/>
                <w:kern w:val="24"/>
                <w:sz w:val="21"/>
                <w:szCs w:val="21"/>
              </w:rPr>
              <w:t>趋势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3" w:hRule="atLeast"/>
        </w:trPr>
        <w:tc>
          <w:tcPr>
            <w:tcW w:w="4725"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燕郊自来水用水量（2014）</w:t>
            </w:r>
          </w:p>
        </w:tc>
        <w:tc>
          <w:tcPr>
            <w:tcW w:w="2004"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220L/（人·d）</w:t>
            </w:r>
          </w:p>
        </w:tc>
        <w:tc>
          <w:tcPr>
            <w:tcW w:w="2083"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线性增长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3" w:hRule="atLeast"/>
        </w:trPr>
        <w:tc>
          <w:tcPr>
            <w:tcW w:w="4725"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全国城市人均平均日综合用水量（2010）</w:t>
            </w:r>
          </w:p>
        </w:tc>
        <w:tc>
          <w:tcPr>
            <w:tcW w:w="2004"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364.7L/（人·d）</w:t>
            </w:r>
          </w:p>
        </w:tc>
        <w:tc>
          <w:tcPr>
            <w:tcW w:w="2083"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较2000年减少约30%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3" w:hRule="atLeast"/>
        </w:trPr>
        <w:tc>
          <w:tcPr>
            <w:tcW w:w="4725"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北京市人均平均日综合用水量（2013）</w:t>
            </w:r>
          </w:p>
        </w:tc>
        <w:tc>
          <w:tcPr>
            <w:tcW w:w="2004"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230L/（人·d）</w:t>
            </w:r>
          </w:p>
        </w:tc>
        <w:tc>
          <w:tcPr>
            <w:tcW w:w="2083"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较2003年有所减少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3" w:hRule="atLeast"/>
        </w:trPr>
        <w:tc>
          <w:tcPr>
            <w:tcW w:w="4725"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河北省城镇人均平均日综合用水量（2011）</w:t>
            </w:r>
          </w:p>
        </w:tc>
        <w:tc>
          <w:tcPr>
            <w:tcW w:w="2004"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227L/（人·d）</w:t>
            </w:r>
          </w:p>
        </w:tc>
        <w:tc>
          <w:tcPr>
            <w:tcW w:w="2083"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3" w:hRule="atLeast"/>
        </w:trPr>
        <w:tc>
          <w:tcPr>
            <w:tcW w:w="4725"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北京市城镇人均平均日综合用水量（2011）</w:t>
            </w:r>
          </w:p>
        </w:tc>
        <w:tc>
          <w:tcPr>
            <w:tcW w:w="2004"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224 L/（人·d）</w:t>
            </w:r>
          </w:p>
        </w:tc>
        <w:tc>
          <w:tcPr>
            <w:tcW w:w="2083"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3" w:hRule="atLeast"/>
        </w:trPr>
        <w:tc>
          <w:tcPr>
            <w:tcW w:w="4725"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天津市城镇人均平均日综合用水量（2011）</w:t>
            </w:r>
          </w:p>
        </w:tc>
        <w:tc>
          <w:tcPr>
            <w:tcW w:w="2004"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256 L/（人·d）</w:t>
            </w:r>
          </w:p>
        </w:tc>
        <w:tc>
          <w:tcPr>
            <w:tcW w:w="2083"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3" w:hRule="atLeast"/>
        </w:trPr>
        <w:tc>
          <w:tcPr>
            <w:tcW w:w="4725" w:type="dxa"/>
            <w:tcMar>
              <w:top w:w="0" w:type="dxa"/>
              <w:left w:w="0" w:type="dxa"/>
              <w:bottom w:w="0" w:type="dxa"/>
              <w:right w:w="0" w:type="dxa"/>
            </w:tcMar>
            <w:vAlign w:val="center"/>
          </w:tcPr>
          <w:p>
            <w:pPr>
              <w:widowControl/>
              <w:spacing w:line="240" w:lineRule="auto"/>
              <w:ind w:firstLine="0" w:firstLineChars="0"/>
              <w:jc w:val="center"/>
              <w:rPr>
                <w:rFonts w:eastAsia="仿宋_GB2312"/>
                <w:kern w:val="24"/>
                <w:sz w:val="21"/>
                <w:szCs w:val="21"/>
              </w:rPr>
            </w:pPr>
            <w:r>
              <w:rPr>
                <w:rFonts w:eastAsia="仿宋_GB2312"/>
                <w:kern w:val="24"/>
                <w:sz w:val="21"/>
                <w:szCs w:val="21"/>
              </w:rPr>
              <w:t>《河北省用水定额》DB13T1161.3-2009</w:t>
            </w:r>
          </w:p>
          <w:p>
            <w:pPr>
              <w:widowControl/>
              <w:spacing w:line="240" w:lineRule="auto"/>
              <w:ind w:firstLine="0" w:firstLineChars="0"/>
              <w:jc w:val="center"/>
              <w:rPr>
                <w:rFonts w:eastAsia="仿宋_GB2312"/>
                <w:kern w:val="0"/>
                <w:sz w:val="21"/>
                <w:szCs w:val="21"/>
              </w:rPr>
            </w:pPr>
            <w:r>
              <w:rPr>
                <w:rFonts w:eastAsia="仿宋_GB2312"/>
                <w:kern w:val="24"/>
                <w:sz w:val="21"/>
                <w:szCs w:val="21"/>
              </w:rPr>
              <w:t>居民生活用水量</w:t>
            </w:r>
          </w:p>
        </w:tc>
        <w:tc>
          <w:tcPr>
            <w:tcW w:w="2004"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110-140L/（人·d）</w:t>
            </w:r>
          </w:p>
        </w:tc>
        <w:tc>
          <w:tcPr>
            <w:tcW w:w="2083"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3" w:hRule="atLeast"/>
        </w:trPr>
        <w:tc>
          <w:tcPr>
            <w:tcW w:w="4725" w:type="dxa"/>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全国城市人均平均日综合用水量（2000-2010）</w:t>
            </w:r>
          </w:p>
        </w:tc>
        <w:tc>
          <w:tcPr>
            <w:tcW w:w="4087" w:type="dxa"/>
            <w:gridSpan w:val="2"/>
            <w:tcMar>
              <w:top w:w="0" w:type="dxa"/>
              <w:left w:w="0" w:type="dxa"/>
              <w:bottom w:w="0" w:type="dxa"/>
              <w:right w:w="0" w:type="dxa"/>
            </w:tcMar>
            <w:vAlign w:val="center"/>
          </w:tcPr>
          <w:p>
            <w:pPr>
              <w:widowControl/>
              <w:spacing w:line="240" w:lineRule="auto"/>
              <w:ind w:firstLine="0" w:firstLineChars="0"/>
              <w:jc w:val="center"/>
              <w:rPr>
                <w:rFonts w:eastAsia="仿宋_GB2312"/>
                <w:kern w:val="0"/>
                <w:sz w:val="21"/>
                <w:szCs w:val="21"/>
              </w:rPr>
            </w:pPr>
            <w:r>
              <w:rPr>
                <w:rFonts w:eastAsia="仿宋_GB2312"/>
                <w:kern w:val="24"/>
                <w:sz w:val="21"/>
                <w:szCs w:val="21"/>
              </w:rPr>
              <w:t>城市用水总量的增长仅为6.6%</w:t>
            </w:r>
          </w:p>
        </w:tc>
      </w:tr>
    </w:tbl>
    <w:p>
      <w:pPr>
        <w:spacing w:before="163" w:beforeLines="50" w:line="576" w:lineRule="exact"/>
        <w:ind w:firstLine="640"/>
        <w:rPr>
          <w:rFonts w:eastAsia="仿宋_GB2312"/>
          <w:sz w:val="32"/>
          <w:szCs w:val="32"/>
        </w:rPr>
      </w:pPr>
      <w:r>
        <w:rPr>
          <w:rFonts w:eastAsia="仿宋_GB2312"/>
          <w:sz w:val="32"/>
          <w:szCs w:val="32"/>
        </w:rPr>
        <w:t>本次方案用水量预测时，以人均平均日综合用水量250升/（人·天）核算。因此，到2020年，燕郊地区城市居民用水量为21.3万吨/日。污水排放系数取0.85。到2020年，燕郊地区现状居民生活污水产生量约为18.1万吨/日。</w:t>
      </w:r>
    </w:p>
    <w:p>
      <w:pPr>
        <w:pStyle w:val="3"/>
        <w:spacing w:line="576" w:lineRule="exact"/>
        <w:ind w:left="643" w:firstLine="0" w:firstLineChars="0"/>
        <w:rPr>
          <w:rFonts w:eastAsia="楷体_GB2312"/>
        </w:rPr>
      </w:pPr>
      <w:bookmarkStart w:id="346" w:name="_Toc460596344"/>
      <w:bookmarkStart w:id="347" w:name="_Toc19493"/>
      <w:bookmarkStart w:id="348" w:name="_Toc5350"/>
      <w:bookmarkStart w:id="349" w:name="_Toc2302"/>
      <w:bookmarkStart w:id="350" w:name="_Toc32708"/>
      <w:bookmarkStart w:id="351" w:name="_Toc23784083"/>
      <w:r>
        <w:rPr>
          <w:rFonts w:eastAsia="楷体_GB2312"/>
        </w:rPr>
        <w:t>4.3农业农村污染源</w:t>
      </w:r>
      <w:bookmarkEnd w:id="346"/>
      <w:bookmarkEnd w:id="347"/>
      <w:bookmarkEnd w:id="348"/>
      <w:bookmarkEnd w:id="349"/>
      <w:bookmarkEnd w:id="350"/>
      <w:bookmarkEnd w:id="351"/>
    </w:p>
    <w:p>
      <w:pPr>
        <w:spacing w:line="576" w:lineRule="exact"/>
        <w:ind w:firstLine="640"/>
        <w:rPr>
          <w:rFonts w:eastAsia="仿宋_GB2312"/>
          <w:sz w:val="32"/>
          <w:szCs w:val="32"/>
        </w:rPr>
      </w:pPr>
      <w:r>
        <w:rPr>
          <w:rFonts w:eastAsia="仿宋_GB2312"/>
          <w:sz w:val="32"/>
          <w:szCs w:val="32"/>
        </w:rPr>
        <w:t>（1）养殖业污染</w:t>
      </w:r>
    </w:p>
    <w:p>
      <w:pPr>
        <w:spacing w:line="576" w:lineRule="exact"/>
        <w:ind w:firstLine="616"/>
        <w:rPr>
          <w:rFonts w:eastAsia="仿宋_GB2312"/>
          <w:spacing w:val="-6"/>
          <w:sz w:val="32"/>
          <w:szCs w:val="32"/>
        </w:rPr>
      </w:pPr>
      <w:r>
        <w:rPr>
          <w:rFonts w:eastAsia="仿宋_GB2312"/>
          <w:spacing w:val="-6"/>
          <w:sz w:val="32"/>
          <w:szCs w:val="32"/>
        </w:rPr>
        <w:t>潮白河流域畜禽养殖污染主要为大厂县、香河县段堤内养殖污染，由于潮白河在大厂县境内河长较短，大厂县影响相对较小，此处仅计算香河县养殖污染。香河县堤内村庄养殖户共养猪存栏量1550头，羊450头，鸡鸭共10000只，具体情况见下表。</w:t>
      </w:r>
    </w:p>
    <w:p>
      <w:pPr>
        <w:spacing w:before="163" w:beforeLines="50" w:after="163" w:afterLines="50" w:line="240" w:lineRule="auto"/>
        <w:ind w:firstLine="0" w:firstLineChars="0"/>
        <w:jc w:val="center"/>
        <w:rPr>
          <w:rFonts w:ascii="黑体" w:hAnsi="黑体" w:eastAsia="黑体"/>
          <w:sz w:val="32"/>
          <w:szCs w:val="32"/>
        </w:rPr>
      </w:pPr>
      <w:r>
        <w:rPr>
          <w:rFonts w:hAnsi="黑体" w:eastAsia="黑体" w:cs="Times New Roman"/>
          <w:sz w:val="32"/>
          <w:szCs w:val="32"/>
        </w:rPr>
        <w:t>表</w:t>
      </w:r>
      <w:r>
        <w:rPr>
          <w:rFonts w:eastAsia="黑体" w:cs="Times New Roman"/>
          <w:sz w:val="32"/>
          <w:szCs w:val="32"/>
        </w:rPr>
        <w:t>4-4</w:t>
      </w:r>
      <w:r>
        <w:rPr>
          <w:rFonts w:hAnsi="黑体" w:eastAsia="黑体" w:cs="Times New Roman"/>
          <w:sz w:val="32"/>
          <w:szCs w:val="32"/>
        </w:rPr>
        <w:t>　</w:t>
      </w:r>
      <w:r>
        <w:rPr>
          <w:rFonts w:ascii="黑体" w:hAnsi="黑体" w:eastAsia="黑体"/>
          <w:sz w:val="32"/>
          <w:szCs w:val="32"/>
        </w:rPr>
        <w:t>堤内村庄养殖情况统计表</w:t>
      </w:r>
    </w:p>
    <w:tbl>
      <w:tblPr>
        <w:tblStyle w:val="13"/>
        <w:tblW w:w="8770" w:type="dxa"/>
        <w:tblInd w:w="108" w:type="dxa"/>
        <w:tblLayout w:type="fixed"/>
        <w:tblCellMar>
          <w:top w:w="0" w:type="dxa"/>
          <w:left w:w="108" w:type="dxa"/>
          <w:bottom w:w="0" w:type="dxa"/>
          <w:right w:w="108" w:type="dxa"/>
        </w:tblCellMar>
      </w:tblPr>
      <w:tblGrid>
        <w:gridCol w:w="666"/>
        <w:gridCol w:w="1298"/>
        <w:gridCol w:w="1797"/>
        <w:gridCol w:w="1784"/>
        <w:gridCol w:w="1784"/>
        <w:gridCol w:w="1441"/>
      </w:tblGrid>
      <w:tr>
        <w:tblPrEx>
          <w:tblLayout w:type="fixed"/>
          <w:tblCellMar>
            <w:top w:w="0" w:type="dxa"/>
            <w:left w:w="108" w:type="dxa"/>
            <w:bottom w:w="0" w:type="dxa"/>
            <w:right w:w="108" w:type="dxa"/>
          </w:tblCellMar>
        </w:tblPrEx>
        <w:trPr>
          <w:trHeight w:val="590" w:hRule="exact"/>
          <w:tblHeader/>
        </w:trPr>
        <w:tc>
          <w:tcPr>
            <w:tcW w:w="666" w:type="dxa"/>
            <w:vMerge w:val="restart"/>
            <w:tcBorders>
              <w:top w:val="single" w:color="auto" w:sz="4" w:space="0"/>
              <w:left w:val="single" w:color="auto" w:sz="4" w:space="0"/>
              <w:bottom w:val="single" w:color="auto" w:sz="4" w:space="0"/>
              <w:right w:val="single" w:color="auto" w:sz="4" w:space="0"/>
            </w:tcBorders>
            <w:vAlign w:val="center"/>
          </w:tcPr>
          <w:p>
            <w:pPr>
              <w:widowControl/>
              <w:spacing w:line="6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编号</w:t>
            </w:r>
          </w:p>
        </w:tc>
        <w:tc>
          <w:tcPr>
            <w:tcW w:w="1298" w:type="dxa"/>
            <w:vMerge w:val="restart"/>
            <w:tcBorders>
              <w:top w:val="single" w:color="auto" w:sz="4" w:space="0"/>
              <w:left w:val="single" w:color="auto" w:sz="4" w:space="0"/>
              <w:bottom w:val="single" w:color="auto" w:sz="4" w:space="0"/>
              <w:right w:val="single" w:color="auto" w:sz="4" w:space="0"/>
            </w:tcBorders>
            <w:vAlign w:val="center"/>
          </w:tcPr>
          <w:p>
            <w:pPr>
              <w:widowControl/>
              <w:spacing w:line="6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乡镇</w:t>
            </w:r>
          </w:p>
        </w:tc>
        <w:tc>
          <w:tcPr>
            <w:tcW w:w="1797" w:type="dxa"/>
            <w:vMerge w:val="restart"/>
            <w:tcBorders>
              <w:top w:val="single" w:color="auto" w:sz="4" w:space="0"/>
              <w:left w:val="single" w:color="auto" w:sz="4" w:space="0"/>
              <w:bottom w:val="single" w:color="auto" w:sz="4" w:space="0"/>
              <w:right w:val="single" w:color="auto" w:sz="4" w:space="0"/>
            </w:tcBorders>
            <w:vAlign w:val="center"/>
          </w:tcPr>
          <w:p>
            <w:pPr>
              <w:widowControl/>
              <w:spacing w:line="600" w:lineRule="exact"/>
              <w:ind w:firstLine="0" w:firstLineChars="0"/>
              <w:jc w:val="center"/>
              <w:rPr>
                <w:rFonts w:eastAsia="仿宋_GB2312"/>
                <w:b/>
                <w:bCs/>
                <w:color w:val="000000"/>
                <w:kern w:val="0"/>
                <w:sz w:val="21"/>
                <w:szCs w:val="21"/>
              </w:rPr>
            </w:pPr>
            <w:r>
              <w:rPr>
                <w:rFonts w:eastAsia="仿宋_GB2312"/>
                <w:b/>
                <w:bCs/>
                <w:color w:val="000000"/>
                <w:kern w:val="0"/>
                <w:sz w:val="21"/>
                <w:szCs w:val="21"/>
              </w:rPr>
              <w:t>村庄</w:t>
            </w:r>
          </w:p>
        </w:tc>
        <w:tc>
          <w:tcPr>
            <w:tcW w:w="5009" w:type="dxa"/>
            <w:gridSpan w:val="3"/>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畜禽养殖存栏量（头、只）及养殖户</w:t>
            </w:r>
          </w:p>
        </w:tc>
      </w:tr>
      <w:tr>
        <w:tblPrEx>
          <w:tblLayout w:type="fixed"/>
          <w:tblCellMar>
            <w:top w:w="0" w:type="dxa"/>
            <w:left w:w="108" w:type="dxa"/>
            <w:bottom w:w="0" w:type="dxa"/>
            <w:right w:w="108" w:type="dxa"/>
          </w:tblCellMar>
        </w:tblPrEx>
        <w:trPr>
          <w:trHeight w:val="590" w:hRule="exact"/>
          <w:tblHead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600" w:lineRule="exact"/>
              <w:ind w:firstLine="0" w:firstLineChars="0"/>
              <w:jc w:val="left"/>
              <w:rPr>
                <w:rFonts w:eastAsia="仿宋_GB2312"/>
                <w:b/>
                <w:bCs/>
                <w:color w:val="000000"/>
                <w:kern w:val="0"/>
                <w:sz w:val="21"/>
                <w:szCs w:val="21"/>
              </w:rPr>
            </w:pPr>
          </w:p>
        </w:tc>
        <w:tc>
          <w:tcPr>
            <w:tcW w:w="129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600" w:lineRule="exact"/>
              <w:ind w:firstLine="0" w:firstLineChars="0"/>
              <w:jc w:val="left"/>
              <w:rPr>
                <w:rFonts w:eastAsia="仿宋_GB2312"/>
                <w:b/>
                <w:bCs/>
                <w:color w:val="000000"/>
                <w:kern w:val="0"/>
                <w:sz w:val="21"/>
                <w:szCs w:val="21"/>
              </w:rPr>
            </w:pPr>
          </w:p>
        </w:tc>
        <w:tc>
          <w:tcPr>
            <w:tcW w:w="1797"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600" w:lineRule="exact"/>
              <w:ind w:firstLine="0" w:firstLineChars="0"/>
              <w:jc w:val="left"/>
              <w:rPr>
                <w:rFonts w:eastAsia="仿宋_GB2312"/>
                <w:b/>
                <w:bCs/>
                <w:color w:val="000000"/>
                <w:kern w:val="0"/>
                <w:sz w:val="21"/>
                <w:szCs w:val="21"/>
              </w:rPr>
            </w:pP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猪</w:t>
            </w: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羊</w:t>
            </w:r>
          </w:p>
        </w:tc>
        <w:tc>
          <w:tcPr>
            <w:tcW w:w="144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鸡/鸭</w:t>
            </w:r>
          </w:p>
        </w:tc>
      </w:tr>
      <w:tr>
        <w:tblPrEx>
          <w:tblLayout w:type="fixed"/>
          <w:tblCellMar>
            <w:top w:w="0" w:type="dxa"/>
            <w:left w:w="108" w:type="dxa"/>
            <w:bottom w:w="0" w:type="dxa"/>
            <w:right w:w="108" w:type="dxa"/>
          </w:tblCellMar>
        </w:tblPrEx>
        <w:trPr>
          <w:trHeight w:val="590" w:hRule="exact"/>
        </w:trPr>
        <w:tc>
          <w:tcPr>
            <w:tcW w:w="666"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1</w:t>
            </w:r>
          </w:p>
        </w:tc>
        <w:tc>
          <w:tcPr>
            <w:tcW w:w="1298"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蒋辛屯镇</w:t>
            </w:r>
          </w:p>
        </w:tc>
        <w:tc>
          <w:tcPr>
            <w:tcW w:w="179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苍头村</w:t>
            </w: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144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r>
      <w:tr>
        <w:tblPrEx>
          <w:tblLayout w:type="fixed"/>
          <w:tblCellMar>
            <w:top w:w="0" w:type="dxa"/>
            <w:left w:w="108" w:type="dxa"/>
            <w:bottom w:w="0" w:type="dxa"/>
            <w:right w:w="108" w:type="dxa"/>
          </w:tblCellMar>
        </w:tblPrEx>
        <w:trPr>
          <w:trHeight w:val="590" w:hRule="exact"/>
        </w:trPr>
        <w:tc>
          <w:tcPr>
            <w:tcW w:w="666"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2</w:t>
            </w:r>
          </w:p>
        </w:tc>
        <w:tc>
          <w:tcPr>
            <w:tcW w:w="129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p>
        </w:tc>
        <w:tc>
          <w:tcPr>
            <w:tcW w:w="179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王店子村</w:t>
            </w: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70（1户）</w:t>
            </w:r>
          </w:p>
        </w:tc>
        <w:tc>
          <w:tcPr>
            <w:tcW w:w="144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5000（1户）</w:t>
            </w:r>
          </w:p>
        </w:tc>
      </w:tr>
      <w:tr>
        <w:tblPrEx>
          <w:tblLayout w:type="fixed"/>
          <w:tblCellMar>
            <w:top w:w="0" w:type="dxa"/>
            <w:left w:w="108" w:type="dxa"/>
            <w:bottom w:w="0" w:type="dxa"/>
            <w:right w:w="108" w:type="dxa"/>
          </w:tblCellMar>
        </w:tblPrEx>
        <w:trPr>
          <w:trHeight w:val="590" w:hRule="exact"/>
        </w:trPr>
        <w:tc>
          <w:tcPr>
            <w:tcW w:w="666"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3</w:t>
            </w:r>
          </w:p>
        </w:tc>
        <w:tc>
          <w:tcPr>
            <w:tcW w:w="129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p>
        </w:tc>
        <w:tc>
          <w:tcPr>
            <w:tcW w:w="179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北吴村</w:t>
            </w: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1550（4户）</w:t>
            </w: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144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5000（2户）</w:t>
            </w:r>
          </w:p>
        </w:tc>
      </w:tr>
      <w:tr>
        <w:tblPrEx>
          <w:tblLayout w:type="fixed"/>
          <w:tblCellMar>
            <w:top w:w="0" w:type="dxa"/>
            <w:left w:w="108" w:type="dxa"/>
            <w:bottom w:w="0" w:type="dxa"/>
            <w:right w:w="108" w:type="dxa"/>
          </w:tblCellMar>
        </w:tblPrEx>
        <w:trPr>
          <w:trHeight w:val="590" w:hRule="exact"/>
        </w:trPr>
        <w:tc>
          <w:tcPr>
            <w:tcW w:w="666"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4</w:t>
            </w:r>
          </w:p>
        </w:tc>
        <w:tc>
          <w:tcPr>
            <w:tcW w:w="129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p>
        </w:tc>
        <w:tc>
          <w:tcPr>
            <w:tcW w:w="179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杨簸箕村</w:t>
            </w: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50（1户）</w:t>
            </w:r>
          </w:p>
        </w:tc>
        <w:tc>
          <w:tcPr>
            <w:tcW w:w="144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r>
      <w:tr>
        <w:tblPrEx>
          <w:tblLayout w:type="fixed"/>
          <w:tblCellMar>
            <w:top w:w="0" w:type="dxa"/>
            <w:left w:w="108" w:type="dxa"/>
            <w:bottom w:w="0" w:type="dxa"/>
            <w:right w:w="108" w:type="dxa"/>
          </w:tblCellMar>
        </w:tblPrEx>
        <w:trPr>
          <w:trHeight w:val="590" w:hRule="exact"/>
        </w:trPr>
        <w:tc>
          <w:tcPr>
            <w:tcW w:w="666"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5</w:t>
            </w:r>
          </w:p>
        </w:tc>
        <w:tc>
          <w:tcPr>
            <w:tcW w:w="1298"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淑阳镇</w:t>
            </w:r>
          </w:p>
        </w:tc>
        <w:tc>
          <w:tcPr>
            <w:tcW w:w="179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程辛庄村</w:t>
            </w: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144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r>
      <w:tr>
        <w:tblPrEx>
          <w:tblLayout w:type="fixed"/>
          <w:tblCellMar>
            <w:top w:w="0" w:type="dxa"/>
            <w:left w:w="108" w:type="dxa"/>
            <w:bottom w:w="0" w:type="dxa"/>
            <w:right w:w="108" w:type="dxa"/>
          </w:tblCellMar>
        </w:tblPrEx>
        <w:trPr>
          <w:trHeight w:val="590" w:hRule="exact"/>
        </w:trPr>
        <w:tc>
          <w:tcPr>
            <w:tcW w:w="3761"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合计</w:t>
            </w: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1550</w:t>
            </w:r>
          </w:p>
        </w:tc>
        <w:tc>
          <w:tcPr>
            <w:tcW w:w="178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120</w:t>
            </w:r>
          </w:p>
        </w:tc>
        <w:tc>
          <w:tcPr>
            <w:tcW w:w="144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10000</w:t>
            </w:r>
          </w:p>
        </w:tc>
      </w:tr>
    </w:tbl>
    <w:p>
      <w:pPr>
        <w:spacing w:line="576" w:lineRule="exact"/>
        <w:ind w:firstLine="640"/>
        <w:rPr>
          <w:rFonts w:eastAsia="仿宋_GB2312"/>
          <w:sz w:val="32"/>
          <w:szCs w:val="32"/>
        </w:rPr>
      </w:pPr>
      <w:r>
        <w:rPr>
          <w:rFonts w:eastAsia="仿宋_GB2312"/>
          <w:sz w:val="32"/>
          <w:szCs w:val="32"/>
        </w:rPr>
        <w:t>根据相关标准，畜禽排污系数取值如下表所示。</w:t>
      </w:r>
    </w:p>
    <w:p>
      <w:pPr>
        <w:spacing w:before="163" w:beforeLines="50" w:after="163" w:afterLines="50" w:line="584" w:lineRule="exact"/>
        <w:ind w:firstLine="0" w:firstLineChars="0"/>
        <w:jc w:val="center"/>
        <w:rPr>
          <w:rFonts w:ascii="黑体" w:hAnsi="黑体" w:eastAsia="黑体"/>
          <w:sz w:val="32"/>
          <w:szCs w:val="32"/>
        </w:rPr>
      </w:pPr>
      <w:r>
        <w:rPr>
          <w:rFonts w:ascii="黑体" w:hAnsi="黑体" w:eastAsia="黑体"/>
          <w:sz w:val="32"/>
          <w:szCs w:val="32"/>
        </w:rPr>
        <w:t>表</w:t>
      </w:r>
      <w:r>
        <w:rPr>
          <w:rFonts w:eastAsia="黑体" w:cs="Times New Roman"/>
          <w:sz w:val="32"/>
          <w:szCs w:val="32"/>
        </w:rPr>
        <w:t>4-5</w:t>
      </w:r>
      <w:r>
        <w:rPr>
          <w:rFonts w:ascii="黑体" w:hAnsi="黑体" w:eastAsia="黑体"/>
          <w:sz w:val="32"/>
          <w:szCs w:val="32"/>
        </w:rPr>
        <w:t>　畜禽粪便排泄系数</w:t>
      </w:r>
    </w:p>
    <w:tbl>
      <w:tblPr>
        <w:tblStyle w:val="13"/>
        <w:tblW w:w="881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99"/>
        <w:gridCol w:w="1692"/>
        <w:gridCol w:w="1692"/>
        <w:gridCol w:w="1329"/>
        <w:gridCol w:w="17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3" w:hRule="exact"/>
          <w:tblHeader/>
        </w:trPr>
        <w:tc>
          <w:tcPr>
            <w:tcW w:w="2399" w:type="dxa"/>
            <w:shd w:val="clear" w:color="000000" w:fill="FFFFFF"/>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项目</w:t>
            </w:r>
          </w:p>
        </w:tc>
        <w:tc>
          <w:tcPr>
            <w:tcW w:w="1692" w:type="dxa"/>
            <w:shd w:val="clear" w:color="000000" w:fill="FFFFFF"/>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单位</w:t>
            </w:r>
          </w:p>
        </w:tc>
        <w:tc>
          <w:tcPr>
            <w:tcW w:w="1692" w:type="dxa"/>
            <w:shd w:val="clear" w:color="000000" w:fill="FFFFFF"/>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猪</w:t>
            </w:r>
          </w:p>
        </w:tc>
        <w:tc>
          <w:tcPr>
            <w:tcW w:w="1329" w:type="dxa"/>
            <w:shd w:val="clear" w:color="000000" w:fill="FFFFFF"/>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羊</w:t>
            </w:r>
          </w:p>
        </w:tc>
        <w:tc>
          <w:tcPr>
            <w:tcW w:w="1706" w:type="dxa"/>
            <w:shd w:val="clear" w:color="000000" w:fill="FFFFFF"/>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鸡、鸭（平均）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3" w:hRule="exact"/>
        </w:trPr>
        <w:tc>
          <w:tcPr>
            <w:tcW w:w="2399" w:type="dxa"/>
            <w:vMerge w:val="restart"/>
            <w:shd w:val="clear" w:color="000000" w:fill="FFFFFF"/>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粪</w:t>
            </w:r>
          </w:p>
        </w:tc>
        <w:tc>
          <w:tcPr>
            <w:tcW w:w="1692"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千克/天</w:t>
            </w:r>
          </w:p>
        </w:tc>
        <w:tc>
          <w:tcPr>
            <w:tcW w:w="1692"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 xml:space="preserve">2.0 </w:t>
            </w:r>
          </w:p>
        </w:tc>
        <w:tc>
          <w:tcPr>
            <w:tcW w:w="1329"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 xml:space="preserve">0.67 </w:t>
            </w:r>
          </w:p>
        </w:tc>
        <w:tc>
          <w:tcPr>
            <w:tcW w:w="1706"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 xml:space="preserve">0.1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3" w:hRule="exact"/>
        </w:trPr>
        <w:tc>
          <w:tcPr>
            <w:tcW w:w="2399" w:type="dxa"/>
            <w:vMerge w:val="continue"/>
            <w:shd w:val="clear" w:color="auto" w:fill="auto"/>
            <w:vAlign w:val="center"/>
          </w:tcPr>
          <w:p>
            <w:pPr>
              <w:widowControl/>
              <w:spacing w:line="240" w:lineRule="auto"/>
              <w:ind w:firstLine="0" w:firstLineChars="0"/>
              <w:jc w:val="center"/>
              <w:rPr>
                <w:rFonts w:eastAsia="仿宋_GB2312"/>
                <w:b/>
                <w:bCs/>
                <w:color w:val="000000"/>
                <w:kern w:val="0"/>
                <w:sz w:val="21"/>
                <w:szCs w:val="21"/>
              </w:rPr>
            </w:pPr>
          </w:p>
        </w:tc>
        <w:tc>
          <w:tcPr>
            <w:tcW w:w="1692"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千克/年</w:t>
            </w:r>
          </w:p>
        </w:tc>
        <w:tc>
          <w:tcPr>
            <w:tcW w:w="1692"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 xml:space="preserve">398.0 </w:t>
            </w:r>
          </w:p>
        </w:tc>
        <w:tc>
          <w:tcPr>
            <w:tcW w:w="1329"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 xml:space="preserve">243.33 </w:t>
            </w:r>
          </w:p>
        </w:tc>
        <w:tc>
          <w:tcPr>
            <w:tcW w:w="1706"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21.0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3" w:hRule="exact"/>
        </w:trPr>
        <w:tc>
          <w:tcPr>
            <w:tcW w:w="2399" w:type="dxa"/>
            <w:vMerge w:val="restart"/>
            <w:shd w:val="clear" w:color="000000" w:fill="FFFFFF"/>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尿</w:t>
            </w:r>
          </w:p>
        </w:tc>
        <w:tc>
          <w:tcPr>
            <w:tcW w:w="1692"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千克/天</w:t>
            </w:r>
          </w:p>
        </w:tc>
        <w:tc>
          <w:tcPr>
            <w:tcW w:w="1692"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 xml:space="preserve">3.3 </w:t>
            </w:r>
          </w:p>
        </w:tc>
        <w:tc>
          <w:tcPr>
            <w:tcW w:w="1329"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 xml:space="preserve">1.10 </w:t>
            </w:r>
          </w:p>
        </w:tc>
        <w:tc>
          <w:tcPr>
            <w:tcW w:w="1706"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3" w:hRule="exact"/>
        </w:trPr>
        <w:tc>
          <w:tcPr>
            <w:tcW w:w="2399" w:type="dxa"/>
            <w:vMerge w:val="continue"/>
            <w:shd w:val="clear" w:color="auto" w:fill="auto"/>
            <w:vAlign w:val="center"/>
          </w:tcPr>
          <w:p>
            <w:pPr>
              <w:widowControl/>
              <w:spacing w:line="240" w:lineRule="auto"/>
              <w:ind w:firstLine="0" w:firstLineChars="0"/>
              <w:jc w:val="center"/>
              <w:rPr>
                <w:rFonts w:eastAsia="仿宋_GB2312"/>
                <w:b/>
                <w:bCs/>
                <w:color w:val="000000"/>
                <w:kern w:val="0"/>
                <w:sz w:val="21"/>
                <w:szCs w:val="21"/>
              </w:rPr>
            </w:pPr>
          </w:p>
        </w:tc>
        <w:tc>
          <w:tcPr>
            <w:tcW w:w="1692"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千克/年</w:t>
            </w:r>
          </w:p>
        </w:tc>
        <w:tc>
          <w:tcPr>
            <w:tcW w:w="1692"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 xml:space="preserve">656.7 </w:t>
            </w:r>
          </w:p>
        </w:tc>
        <w:tc>
          <w:tcPr>
            <w:tcW w:w="1329"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401.50</w:t>
            </w:r>
          </w:p>
        </w:tc>
        <w:tc>
          <w:tcPr>
            <w:tcW w:w="1706"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3" w:hRule="exact"/>
        </w:trPr>
        <w:tc>
          <w:tcPr>
            <w:tcW w:w="2399" w:type="dxa"/>
            <w:shd w:val="clear" w:color="000000" w:fill="FFFFFF"/>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饲养周期</w:t>
            </w:r>
          </w:p>
        </w:tc>
        <w:tc>
          <w:tcPr>
            <w:tcW w:w="1692"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天</w:t>
            </w:r>
          </w:p>
        </w:tc>
        <w:tc>
          <w:tcPr>
            <w:tcW w:w="1692"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199</w:t>
            </w:r>
          </w:p>
        </w:tc>
        <w:tc>
          <w:tcPr>
            <w:tcW w:w="1329"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365</w:t>
            </w:r>
          </w:p>
        </w:tc>
        <w:tc>
          <w:tcPr>
            <w:tcW w:w="1706" w:type="dxa"/>
            <w:shd w:val="clear" w:color="000000" w:fill="FFFFFF"/>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210</w:t>
            </w:r>
          </w:p>
        </w:tc>
      </w:tr>
    </w:tbl>
    <w:p>
      <w:pPr>
        <w:spacing w:line="576" w:lineRule="exact"/>
        <w:ind w:firstLine="640"/>
        <w:rPr>
          <w:rFonts w:eastAsia="仿宋_GB2312"/>
          <w:sz w:val="32"/>
          <w:szCs w:val="32"/>
        </w:rPr>
      </w:pPr>
      <w:r>
        <w:rPr>
          <w:rFonts w:eastAsia="仿宋_GB2312"/>
          <w:sz w:val="32"/>
          <w:szCs w:val="32"/>
        </w:rPr>
        <w:t>根据养殖情况调查表和畜禽粪便排泄系数可以估算出潮白河堤内农业畜禽养殖污染物排放总量，见下表。</w:t>
      </w:r>
    </w:p>
    <w:p>
      <w:pPr>
        <w:spacing w:after="163" w:afterLines="50" w:line="584" w:lineRule="exact"/>
        <w:ind w:firstLine="0" w:firstLineChars="0"/>
        <w:jc w:val="center"/>
        <w:rPr>
          <w:rFonts w:hint="eastAsia" w:ascii="黑体" w:hAnsi="黑体" w:eastAsia="黑体"/>
          <w:sz w:val="32"/>
          <w:szCs w:val="32"/>
        </w:rPr>
      </w:pPr>
      <w:r>
        <w:rPr>
          <w:rFonts w:ascii="黑体" w:hAnsi="黑体" w:eastAsia="黑体"/>
          <w:sz w:val="32"/>
          <w:szCs w:val="32"/>
        </w:rPr>
        <w:br w:type="page"/>
      </w:r>
      <w:r>
        <w:rPr>
          <w:rFonts w:hint="eastAsia" w:ascii="黑体" w:hAnsi="黑体" w:eastAsia="黑体"/>
          <w:sz w:val="32"/>
          <w:szCs w:val="32"/>
        </w:rPr>
        <w:t>表4</w:t>
      </w:r>
      <w:r>
        <w:rPr>
          <w:rFonts w:hint="eastAsia" w:eastAsia="黑体"/>
          <w:sz w:val="32"/>
          <w:szCs w:val="32"/>
        </w:rPr>
        <w:t>-</w:t>
      </w:r>
      <w:r>
        <w:rPr>
          <w:rFonts w:hint="eastAsia" w:ascii="黑体" w:hAnsi="黑体" w:eastAsia="黑体"/>
          <w:sz w:val="32"/>
          <w:szCs w:val="32"/>
        </w:rPr>
        <w:t>6　农业畜禽养殖废弃物总量</w:t>
      </w:r>
    </w:p>
    <w:tbl>
      <w:tblPr>
        <w:tblStyle w:val="13"/>
        <w:tblW w:w="8808" w:type="dxa"/>
        <w:tblInd w:w="108" w:type="dxa"/>
        <w:tblLayout w:type="fixed"/>
        <w:tblCellMar>
          <w:top w:w="0" w:type="dxa"/>
          <w:left w:w="108" w:type="dxa"/>
          <w:bottom w:w="0" w:type="dxa"/>
          <w:right w:w="108" w:type="dxa"/>
        </w:tblCellMar>
      </w:tblPr>
      <w:tblGrid>
        <w:gridCol w:w="2749"/>
        <w:gridCol w:w="1482"/>
        <w:gridCol w:w="1481"/>
        <w:gridCol w:w="1481"/>
        <w:gridCol w:w="1615"/>
      </w:tblGrid>
      <w:tr>
        <w:tblPrEx>
          <w:tblLayout w:type="fixed"/>
          <w:tblCellMar>
            <w:top w:w="0" w:type="dxa"/>
            <w:left w:w="108" w:type="dxa"/>
            <w:bottom w:w="0" w:type="dxa"/>
            <w:right w:w="108" w:type="dxa"/>
          </w:tblCellMar>
        </w:tblPrEx>
        <w:trPr>
          <w:trHeight w:val="571" w:hRule="exact"/>
          <w:tblHeader/>
        </w:trPr>
        <w:tc>
          <w:tcPr>
            <w:tcW w:w="274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442" w:firstLineChars="0"/>
              <w:jc w:val="center"/>
              <w:rPr>
                <w:rFonts w:eastAsia="仿宋_GB2312"/>
                <w:b/>
                <w:bCs/>
                <w:color w:val="000000"/>
                <w:kern w:val="0"/>
                <w:sz w:val="21"/>
                <w:szCs w:val="21"/>
              </w:rPr>
            </w:pPr>
            <w:r>
              <w:rPr>
                <w:rFonts w:eastAsia="仿宋_GB2312"/>
                <w:b/>
                <w:bCs/>
                <w:color w:val="000000"/>
                <w:kern w:val="0"/>
                <w:sz w:val="21"/>
                <w:szCs w:val="21"/>
              </w:rPr>
              <w:t>项目</w:t>
            </w:r>
          </w:p>
        </w:tc>
        <w:tc>
          <w:tcPr>
            <w:tcW w:w="1482"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猪</w:t>
            </w:r>
          </w:p>
        </w:tc>
        <w:tc>
          <w:tcPr>
            <w:tcW w:w="1481"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羊</w:t>
            </w:r>
          </w:p>
        </w:tc>
        <w:tc>
          <w:tcPr>
            <w:tcW w:w="1481"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鸡/鸭</w:t>
            </w:r>
          </w:p>
        </w:tc>
        <w:tc>
          <w:tcPr>
            <w:tcW w:w="1615"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合计</w:t>
            </w:r>
          </w:p>
        </w:tc>
      </w:tr>
      <w:tr>
        <w:tblPrEx>
          <w:tblLayout w:type="fixed"/>
          <w:tblCellMar>
            <w:top w:w="0" w:type="dxa"/>
            <w:left w:w="108" w:type="dxa"/>
            <w:bottom w:w="0" w:type="dxa"/>
            <w:right w:w="108" w:type="dxa"/>
          </w:tblCellMar>
        </w:tblPrEx>
        <w:trPr>
          <w:trHeight w:val="571" w:hRule="exact"/>
          <w:tblHeader/>
        </w:trPr>
        <w:tc>
          <w:tcPr>
            <w:tcW w:w="2749"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畜禽养殖存栏量</w:t>
            </w:r>
          </w:p>
        </w:tc>
        <w:tc>
          <w:tcPr>
            <w:tcW w:w="1482"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1550</w:t>
            </w:r>
          </w:p>
        </w:tc>
        <w:tc>
          <w:tcPr>
            <w:tcW w:w="14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120</w:t>
            </w:r>
          </w:p>
        </w:tc>
        <w:tc>
          <w:tcPr>
            <w:tcW w:w="14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10000</w:t>
            </w:r>
          </w:p>
        </w:tc>
        <w:tc>
          <w:tcPr>
            <w:tcW w:w="1615"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b/>
                <w:bCs/>
                <w:color w:val="000000"/>
                <w:kern w:val="0"/>
                <w:sz w:val="21"/>
                <w:szCs w:val="21"/>
              </w:rPr>
            </w:pPr>
          </w:p>
        </w:tc>
      </w:tr>
      <w:tr>
        <w:tblPrEx>
          <w:tblLayout w:type="fixed"/>
          <w:tblCellMar>
            <w:top w:w="0" w:type="dxa"/>
            <w:left w:w="108" w:type="dxa"/>
            <w:bottom w:w="0" w:type="dxa"/>
            <w:right w:w="108" w:type="dxa"/>
          </w:tblCellMar>
        </w:tblPrEx>
        <w:trPr>
          <w:trHeight w:val="571" w:hRule="exact"/>
        </w:trPr>
        <w:tc>
          <w:tcPr>
            <w:tcW w:w="2749"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粪（</w:t>
            </w:r>
            <w:r>
              <w:rPr>
                <w:rFonts w:eastAsia="仿宋_GB2312"/>
                <w:bCs/>
                <w:color w:val="000000"/>
                <w:kern w:val="0"/>
                <w:sz w:val="21"/>
                <w:szCs w:val="21"/>
              </w:rPr>
              <w:t>千克/天</w:t>
            </w:r>
            <w:r>
              <w:rPr>
                <w:rFonts w:eastAsia="仿宋_GB2312"/>
                <w:color w:val="000000"/>
                <w:kern w:val="0"/>
                <w:sz w:val="21"/>
                <w:szCs w:val="21"/>
              </w:rPr>
              <w:t>）</w:t>
            </w:r>
          </w:p>
        </w:tc>
        <w:tc>
          <w:tcPr>
            <w:tcW w:w="1482"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w:t>
            </w:r>
          </w:p>
        </w:tc>
        <w:tc>
          <w:tcPr>
            <w:tcW w:w="14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0.67</w:t>
            </w:r>
          </w:p>
        </w:tc>
        <w:tc>
          <w:tcPr>
            <w:tcW w:w="14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0.1</w:t>
            </w:r>
          </w:p>
        </w:tc>
        <w:tc>
          <w:tcPr>
            <w:tcW w:w="16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r>
      <w:tr>
        <w:tblPrEx>
          <w:tblLayout w:type="fixed"/>
          <w:tblCellMar>
            <w:top w:w="0" w:type="dxa"/>
            <w:left w:w="108" w:type="dxa"/>
            <w:bottom w:w="0" w:type="dxa"/>
            <w:right w:w="108" w:type="dxa"/>
          </w:tblCellMar>
        </w:tblPrEx>
        <w:trPr>
          <w:trHeight w:val="571" w:hRule="exact"/>
        </w:trPr>
        <w:tc>
          <w:tcPr>
            <w:tcW w:w="2749"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小计（吨/天）</w:t>
            </w:r>
          </w:p>
        </w:tc>
        <w:tc>
          <w:tcPr>
            <w:tcW w:w="1482"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 xml:space="preserve">3.10 </w:t>
            </w:r>
          </w:p>
        </w:tc>
        <w:tc>
          <w:tcPr>
            <w:tcW w:w="14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0.08</w:t>
            </w:r>
          </w:p>
        </w:tc>
        <w:tc>
          <w:tcPr>
            <w:tcW w:w="14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 xml:space="preserve">1.00 </w:t>
            </w:r>
          </w:p>
        </w:tc>
        <w:tc>
          <w:tcPr>
            <w:tcW w:w="16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4.18</w:t>
            </w:r>
          </w:p>
        </w:tc>
      </w:tr>
      <w:tr>
        <w:tblPrEx>
          <w:tblLayout w:type="fixed"/>
          <w:tblCellMar>
            <w:top w:w="0" w:type="dxa"/>
            <w:left w:w="108" w:type="dxa"/>
            <w:bottom w:w="0" w:type="dxa"/>
            <w:right w:w="108" w:type="dxa"/>
          </w:tblCellMar>
        </w:tblPrEx>
        <w:trPr>
          <w:trHeight w:val="571" w:hRule="exact"/>
        </w:trPr>
        <w:tc>
          <w:tcPr>
            <w:tcW w:w="2749"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尿（</w:t>
            </w:r>
            <w:r>
              <w:rPr>
                <w:rFonts w:eastAsia="仿宋_GB2312"/>
                <w:bCs/>
                <w:color w:val="000000"/>
                <w:kern w:val="0"/>
                <w:sz w:val="21"/>
                <w:szCs w:val="21"/>
              </w:rPr>
              <w:t>千克/天</w:t>
            </w:r>
            <w:r>
              <w:rPr>
                <w:rFonts w:eastAsia="仿宋_GB2312"/>
                <w:color w:val="000000"/>
                <w:kern w:val="0"/>
                <w:sz w:val="21"/>
                <w:szCs w:val="21"/>
              </w:rPr>
              <w:t>）</w:t>
            </w:r>
          </w:p>
        </w:tc>
        <w:tc>
          <w:tcPr>
            <w:tcW w:w="1482"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3.3</w:t>
            </w:r>
          </w:p>
        </w:tc>
        <w:tc>
          <w:tcPr>
            <w:tcW w:w="14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1.1</w:t>
            </w:r>
          </w:p>
        </w:tc>
        <w:tc>
          <w:tcPr>
            <w:tcW w:w="14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w:t>
            </w:r>
          </w:p>
        </w:tc>
        <w:tc>
          <w:tcPr>
            <w:tcW w:w="16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r>
      <w:tr>
        <w:tblPrEx>
          <w:tblLayout w:type="fixed"/>
          <w:tblCellMar>
            <w:top w:w="0" w:type="dxa"/>
            <w:left w:w="108" w:type="dxa"/>
            <w:bottom w:w="0" w:type="dxa"/>
            <w:right w:w="108" w:type="dxa"/>
          </w:tblCellMar>
        </w:tblPrEx>
        <w:trPr>
          <w:trHeight w:val="571" w:hRule="exact"/>
        </w:trPr>
        <w:tc>
          <w:tcPr>
            <w:tcW w:w="2749"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小计（吨/天）</w:t>
            </w:r>
          </w:p>
        </w:tc>
        <w:tc>
          <w:tcPr>
            <w:tcW w:w="1482"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 xml:space="preserve">5.12 </w:t>
            </w:r>
          </w:p>
        </w:tc>
        <w:tc>
          <w:tcPr>
            <w:tcW w:w="14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0.13</w:t>
            </w:r>
          </w:p>
        </w:tc>
        <w:tc>
          <w:tcPr>
            <w:tcW w:w="148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 xml:space="preserve">0.00 </w:t>
            </w:r>
          </w:p>
        </w:tc>
        <w:tc>
          <w:tcPr>
            <w:tcW w:w="161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5.25</w:t>
            </w:r>
          </w:p>
        </w:tc>
      </w:tr>
    </w:tbl>
    <w:p>
      <w:pPr>
        <w:spacing w:line="590" w:lineRule="exact"/>
        <w:ind w:firstLine="640"/>
        <w:rPr>
          <w:rFonts w:eastAsia="仿宋_GB2312"/>
          <w:sz w:val="32"/>
          <w:szCs w:val="32"/>
        </w:rPr>
      </w:pPr>
      <w:r>
        <w:rPr>
          <w:rFonts w:eastAsia="仿宋_GB2312"/>
          <w:sz w:val="32"/>
          <w:szCs w:val="32"/>
        </w:rPr>
        <w:t>堤内现存部分畜禽养殖户是潮白河水环境的风险源之一。畜禽粪便中含有大量的氮、磷等营养物质，选择合理的养殖废弃物处置可以减少环境污染，防止疫病蔓延，保护和改善农村生态环境，有效治理农村污染，促进农业可持续发展。以猪粪为例，粪、尿中含水量较高，分别达到82%、96%，会产生较大量污水。如下表所示。</w:t>
      </w:r>
    </w:p>
    <w:p>
      <w:pPr>
        <w:spacing w:before="163" w:beforeLines="50" w:after="163" w:afterLines="50" w:line="584" w:lineRule="exact"/>
        <w:ind w:firstLine="0" w:firstLineChars="0"/>
        <w:jc w:val="center"/>
        <w:rPr>
          <w:rFonts w:ascii="黑体" w:hAnsi="黑体" w:eastAsia="黑体"/>
          <w:sz w:val="32"/>
          <w:szCs w:val="32"/>
        </w:rPr>
      </w:pPr>
      <w:r>
        <w:rPr>
          <w:rFonts w:ascii="黑体" w:hAnsi="黑体" w:eastAsia="黑体"/>
          <w:sz w:val="32"/>
          <w:szCs w:val="32"/>
        </w:rPr>
        <w:t>表4</w:t>
      </w:r>
      <w:r>
        <w:rPr>
          <w:rFonts w:hint="eastAsia" w:eastAsia="黑体"/>
          <w:sz w:val="32"/>
          <w:szCs w:val="32"/>
        </w:rPr>
        <w:t>-</w:t>
      </w:r>
      <w:r>
        <w:rPr>
          <w:rFonts w:ascii="黑体" w:hAnsi="黑体" w:eastAsia="黑体"/>
          <w:sz w:val="32"/>
          <w:szCs w:val="32"/>
        </w:rPr>
        <w:t>7　猪粪尿中营养成分含量</w:t>
      </w:r>
    </w:p>
    <w:tbl>
      <w:tblPr>
        <w:tblStyle w:val="13"/>
        <w:tblW w:w="8881" w:type="dxa"/>
        <w:tblInd w:w="108" w:type="dxa"/>
        <w:tblLayout w:type="fixed"/>
        <w:tblCellMar>
          <w:top w:w="0" w:type="dxa"/>
          <w:left w:w="108" w:type="dxa"/>
          <w:bottom w:w="0" w:type="dxa"/>
          <w:right w:w="108" w:type="dxa"/>
        </w:tblCellMar>
      </w:tblPr>
      <w:tblGrid>
        <w:gridCol w:w="2397"/>
        <w:gridCol w:w="1037"/>
        <w:gridCol w:w="1390"/>
        <w:gridCol w:w="1033"/>
        <w:gridCol w:w="1033"/>
        <w:gridCol w:w="1033"/>
        <w:gridCol w:w="958"/>
      </w:tblGrid>
      <w:tr>
        <w:tblPrEx>
          <w:tblLayout w:type="fixed"/>
          <w:tblCellMar>
            <w:top w:w="0" w:type="dxa"/>
            <w:left w:w="108" w:type="dxa"/>
            <w:bottom w:w="0" w:type="dxa"/>
            <w:right w:w="108" w:type="dxa"/>
          </w:tblCellMar>
        </w:tblPrEx>
        <w:trPr>
          <w:trHeight w:val="588" w:hRule="exact"/>
          <w:tblHeader/>
        </w:trPr>
        <w:tc>
          <w:tcPr>
            <w:tcW w:w="23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color w:val="000000"/>
                <w:kern w:val="0"/>
                <w:sz w:val="21"/>
                <w:szCs w:val="21"/>
              </w:rPr>
            </w:pPr>
            <w:r>
              <w:rPr>
                <w:rFonts w:eastAsia="仿宋_GB2312"/>
                <w:b/>
                <w:color w:val="000000"/>
                <w:kern w:val="0"/>
                <w:sz w:val="21"/>
                <w:szCs w:val="21"/>
              </w:rPr>
              <w:t>成分（%）</w:t>
            </w:r>
          </w:p>
        </w:tc>
        <w:tc>
          <w:tcPr>
            <w:tcW w:w="1037"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b/>
                <w:color w:val="000000"/>
                <w:kern w:val="0"/>
                <w:sz w:val="21"/>
                <w:szCs w:val="21"/>
              </w:rPr>
            </w:pPr>
            <w:r>
              <w:rPr>
                <w:rFonts w:eastAsia="仿宋_GB2312"/>
                <w:b/>
                <w:color w:val="000000"/>
                <w:kern w:val="0"/>
                <w:sz w:val="21"/>
                <w:szCs w:val="21"/>
              </w:rPr>
              <w:t>水分</w:t>
            </w:r>
          </w:p>
        </w:tc>
        <w:tc>
          <w:tcPr>
            <w:tcW w:w="1390"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b/>
                <w:color w:val="000000"/>
                <w:kern w:val="0"/>
                <w:sz w:val="21"/>
                <w:szCs w:val="21"/>
              </w:rPr>
            </w:pPr>
            <w:r>
              <w:rPr>
                <w:rFonts w:eastAsia="仿宋_GB2312"/>
                <w:b/>
                <w:color w:val="000000"/>
                <w:kern w:val="0"/>
                <w:sz w:val="21"/>
                <w:szCs w:val="21"/>
              </w:rPr>
              <w:t>有机质</w:t>
            </w:r>
          </w:p>
        </w:tc>
        <w:tc>
          <w:tcPr>
            <w:tcW w:w="1033"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b/>
                <w:color w:val="000000"/>
                <w:kern w:val="0"/>
                <w:sz w:val="21"/>
                <w:szCs w:val="21"/>
              </w:rPr>
            </w:pPr>
            <w:r>
              <w:rPr>
                <w:rFonts w:eastAsia="仿宋_GB2312"/>
                <w:b/>
                <w:color w:val="000000"/>
                <w:kern w:val="0"/>
                <w:sz w:val="21"/>
                <w:szCs w:val="21"/>
              </w:rPr>
              <w:t>氮</w:t>
            </w:r>
          </w:p>
        </w:tc>
        <w:tc>
          <w:tcPr>
            <w:tcW w:w="1033"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b/>
                <w:color w:val="000000"/>
                <w:kern w:val="0"/>
                <w:sz w:val="21"/>
                <w:szCs w:val="21"/>
              </w:rPr>
            </w:pPr>
            <w:r>
              <w:rPr>
                <w:rFonts w:eastAsia="仿宋_GB2312"/>
                <w:b/>
                <w:color w:val="000000"/>
                <w:kern w:val="0"/>
                <w:sz w:val="21"/>
                <w:szCs w:val="21"/>
              </w:rPr>
              <w:t>磷</w:t>
            </w:r>
          </w:p>
        </w:tc>
        <w:tc>
          <w:tcPr>
            <w:tcW w:w="1033"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b/>
                <w:color w:val="000000"/>
                <w:kern w:val="0"/>
                <w:sz w:val="21"/>
                <w:szCs w:val="21"/>
              </w:rPr>
            </w:pPr>
            <w:r>
              <w:rPr>
                <w:rFonts w:eastAsia="仿宋_GB2312"/>
                <w:b/>
                <w:color w:val="000000"/>
                <w:kern w:val="0"/>
                <w:sz w:val="21"/>
                <w:szCs w:val="21"/>
              </w:rPr>
              <w:t>钾</w:t>
            </w:r>
          </w:p>
        </w:tc>
        <w:tc>
          <w:tcPr>
            <w:tcW w:w="958"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b/>
                <w:color w:val="000000"/>
                <w:kern w:val="0"/>
                <w:sz w:val="21"/>
                <w:szCs w:val="21"/>
              </w:rPr>
            </w:pPr>
            <w:r>
              <w:rPr>
                <w:rFonts w:eastAsia="仿宋_GB2312"/>
                <w:b/>
                <w:color w:val="000000"/>
                <w:kern w:val="0"/>
                <w:sz w:val="21"/>
                <w:szCs w:val="21"/>
              </w:rPr>
              <w:t>钙</w:t>
            </w:r>
          </w:p>
        </w:tc>
      </w:tr>
      <w:tr>
        <w:tblPrEx>
          <w:tblLayout w:type="fixed"/>
          <w:tblCellMar>
            <w:top w:w="0" w:type="dxa"/>
            <w:left w:w="108" w:type="dxa"/>
            <w:bottom w:w="0" w:type="dxa"/>
            <w:right w:w="108" w:type="dxa"/>
          </w:tblCellMar>
        </w:tblPrEx>
        <w:trPr>
          <w:trHeight w:val="588" w:hRule="exact"/>
        </w:trPr>
        <w:tc>
          <w:tcPr>
            <w:tcW w:w="2397"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猪粪</w:t>
            </w:r>
          </w:p>
        </w:tc>
        <w:tc>
          <w:tcPr>
            <w:tcW w:w="103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82</w:t>
            </w:r>
          </w:p>
        </w:tc>
        <w:tc>
          <w:tcPr>
            <w:tcW w:w="139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15</w:t>
            </w:r>
          </w:p>
        </w:tc>
        <w:tc>
          <w:tcPr>
            <w:tcW w:w="103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0.56</w:t>
            </w:r>
          </w:p>
        </w:tc>
        <w:tc>
          <w:tcPr>
            <w:tcW w:w="103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0.4</w:t>
            </w:r>
          </w:p>
        </w:tc>
        <w:tc>
          <w:tcPr>
            <w:tcW w:w="103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0.44</w:t>
            </w:r>
          </w:p>
        </w:tc>
        <w:tc>
          <w:tcPr>
            <w:tcW w:w="958"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0.09</w:t>
            </w:r>
          </w:p>
        </w:tc>
      </w:tr>
      <w:tr>
        <w:tblPrEx>
          <w:tblLayout w:type="fixed"/>
          <w:tblCellMar>
            <w:top w:w="0" w:type="dxa"/>
            <w:left w:w="108" w:type="dxa"/>
            <w:bottom w:w="0" w:type="dxa"/>
            <w:right w:w="108" w:type="dxa"/>
          </w:tblCellMar>
        </w:tblPrEx>
        <w:trPr>
          <w:trHeight w:val="588" w:hRule="exact"/>
        </w:trPr>
        <w:tc>
          <w:tcPr>
            <w:tcW w:w="2397"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猪尿</w:t>
            </w:r>
          </w:p>
        </w:tc>
        <w:tc>
          <w:tcPr>
            <w:tcW w:w="103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96</w:t>
            </w:r>
          </w:p>
        </w:tc>
        <w:tc>
          <w:tcPr>
            <w:tcW w:w="139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2.5</w:t>
            </w:r>
          </w:p>
        </w:tc>
        <w:tc>
          <w:tcPr>
            <w:tcW w:w="103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0.31</w:t>
            </w:r>
          </w:p>
        </w:tc>
        <w:tc>
          <w:tcPr>
            <w:tcW w:w="103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0.12</w:t>
            </w:r>
          </w:p>
        </w:tc>
        <w:tc>
          <w:tcPr>
            <w:tcW w:w="103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0.95</w:t>
            </w:r>
          </w:p>
        </w:tc>
        <w:tc>
          <w:tcPr>
            <w:tcW w:w="958"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r>
    </w:tbl>
    <w:p>
      <w:pPr>
        <w:spacing w:line="576" w:lineRule="exact"/>
        <w:ind w:firstLine="640"/>
        <w:rPr>
          <w:rFonts w:eastAsia="仿宋_GB2312"/>
          <w:sz w:val="32"/>
          <w:szCs w:val="32"/>
        </w:rPr>
      </w:pPr>
      <w:r>
        <w:rPr>
          <w:rFonts w:eastAsia="仿宋_GB2312"/>
          <w:sz w:val="32"/>
          <w:szCs w:val="32"/>
        </w:rPr>
        <w:t>不同的清粪方式会产生不同污水产生量。如下表所示。</w:t>
      </w:r>
    </w:p>
    <w:p>
      <w:pPr>
        <w:spacing w:before="163" w:beforeLines="50" w:after="163" w:afterLines="50" w:line="584" w:lineRule="exact"/>
        <w:ind w:firstLine="0" w:firstLineChars="0"/>
        <w:jc w:val="center"/>
        <w:rPr>
          <w:rFonts w:ascii="黑体" w:hAnsi="黑体" w:eastAsia="黑体"/>
          <w:sz w:val="32"/>
          <w:szCs w:val="32"/>
        </w:rPr>
      </w:pPr>
      <w:r>
        <w:rPr>
          <w:rFonts w:ascii="黑体" w:hAnsi="黑体" w:eastAsia="黑体"/>
          <w:sz w:val="32"/>
          <w:szCs w:val="32"/>
        </w:rPr>
        <w:t>表4</w:t>
      </w:r>
      <w:r>
        <w:rPr>
          <w:rFonts w:hint="eastAsia" w:eastAsia="黑体"/>
          <w:sz w:val="32"/>
          <w:szCs w:val="32"/>
        </w:rPr>
        <w:t>-</w:t>
      </w:r>
      <w:r>
        <w:rPr>
          <w:rFonts w:ascii="黑体" w:hAnsi="黑体" w:eastAsia="黑体"/>
          <w:sz w:val="32"/>
          <w:szCs w:val="32"/>
        </w:rPr>
        <w:t>8　不同清粪工艺污水产生量（升/头·日）</w:t>
      </w:r>
    </w:p>
    <w:tbl>
      <w:tblPr>
        <w:tblStyle w:val="13"/>
        <w:tblW w:w="8778"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172"/>
        <w:gridCol w:w="2279"/>
        <w:gridCol w:w="2279"/>
        <w:gridCol w:w="204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03" w:hRule="atLeast"/>
        </w:trPr>
        <w:tc>
          <w:tcPr>
            <w:tcW w:w="217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color w:val="000000"/>
                <w:kern w:val="0"/>
                <w:sz w:val="21"/>
                <w:szCs w:val="21"/>
              </w:rPr>
            </w:pPr>
            <w:r>
              <w:rPr>
                <w:rFonts w:eastAsia="仿宋_GB2312"/>
                <w:b/>
                <w:color w:val="000000"/>
                <w:kern w:val="0"/>
                <w:sz w:val="21"/>
                <w:szCs w:val="21"/>
              </w:rPr>
              <w:t>工艺</w:t>
            </w:r>
          </w:p>
        </w:tc>
        <w:tc>
          <w:tcPr>
            <w:tcW w:w="227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color w:val="000000"/>
                <w:kern w:val="0"/>
                <w:sz w:val="21"/>
                <w:szCs w:val="21"/>
              </w:rPr>
            </w:pPr>
            <w:r>
              <w:rPr>
                <w:rFonts w:eastAsia="仿宋_GB2312"/>
                <w:b/>
                <w:color w:val="000000"/>
                <w:kern w:val="0"/>
                <w:sz w:val="21"/>
                <w:szCs w:val="21"/>
              </w:rPr>
              <w:t>水冲粪</w:t>
            </w:r>
          </w:p>
        </w:tc>
        <w:tc>
          <w:tcPr>
            <w:tcW w:w="227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color w:val="000000"/>
                <w:kern w:val="0"/>
                <w:sz w:val="21"/>
                <w:szCs w:val="21"/>
              </w:rPr>
            </w:pPr>
            <w:r>
              <w:rPr>
                <w:rFonts w:eastAsia="仿宋_GB2312"/>
                <w:b/>
                <w:color w:val="000000"/>
                <w:kern w:val="0"/>
                <w:sz w:val="21"/>
                <w:szCs w:val="21"/>
              </w:rPr>
              <w:t>水泡粪</w:t>
            </w:r>
          </w:p>
        </w:tc>
        <w:tc>
          <w:tcPr>
            <w:tcW w:w="204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color w:val="000000"/>
                <w:kern w:val="0"/>
                <w:sz w:val="21"/>
                <w:szCs w:val="21"/>
              </w:rPr>
            </w:pPr>
            <w:r>
              <w:rPr>
                <w:rFonts w:eastAsia="仿宋_GB2312"/>
                <w:b/>
                <w:color w:val="000000"/>
                <w:kern w:val="0"/>
                <w:sz w:val="21"/>
                <w:szCs w:val="21"/>
              </w:rPr>
              <w:t>干清粪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59" w:hRule="atLeast"/>
        </w:trPr>
        <w:tc>
          <w:tcPr>
            <w:tcW w:w="2172"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用水量</w:t>
            </w:r>
          </w:p>
        </w:tc>
        <w:tc>
          <w:tcPr>
            <w:tcW w:w="2279"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30-40</w:t>
            </w:r>
          </w:p>
        </w:tc>
        <w:tc>
          <w:tcPr>
            <w:tcW w:w="2279"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20-25</w:t>
            </w:r>
          </w:p>
        </w:tc>
        <w:tc>
          <w:tcPr>
            <w:tcW w:w="2048" w:type="dxa"/>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5-10</w:t>
            </w:r>
          </w:p>
        </w:tc>
      </w:tr>
    </w:tbl>
    <w:p>
      <w:pPr>
        <w:spacing w:line="590" w:lineRule="exact"/>
        <w:ind w:firstLine="640"/>
        <w:rPr>
          <w:rFonts w:eastAsia="仿宋_GB2312"/>
          <w:sz w:val="32"/>
          <w:szCs w:val="32"/>
        </w:rPr>
      </w:pPr>
      <w:r>
        <w:rPr>
          <w:rFonts w:eastAsia="仿宋_GB2312"/>
          <w:sz w:val="32"/>
          <w:szCs w:val="32"/>
        </w:rPr>
        <w:t>清粪产生的高浓度废污水对环境产生严重影响。若使用于灌溉，会使作物徒长、倒伏、晚熟或不熟，造成减产，甚至毒害作物，出现大面积腐烂。畜禽养殖场“肥水”造成周围农作物危害而赔偿的现象经常发生。高浓度污水可导致土壤孔隙堵塞，造成土壤透气、透水性下降及板结，严重影响土壤质量。</w:t>
      </w:r>
    </w:p>
    <w:p>
      <w:pPr>
        <w:spacing w:line="590" w:lineRule="exact"/>
        <w:ind w:firstLine="640"/>
        <w:rPr>
          <w:rFonts w:eastAsia="仿宋_GB2312"/>
          <w:sz w:val="32"/>
          <w:szCs w:val="32"/>
        </w:rPr>
      </w:pPr>
      <w:r>
        <w:rPr>
          <w:rFonts w:eastAsia="仿宋_GB2312"/>
          <w:sz w:val="32"/>
          <w:szCs w:val="32"/>
        </w:rPr>
        <w:t>（2）种植业污染</w:t>
      </w:r>
    </w:p>
    <w:p>
      <w:pPr>
        <w:spacing w:line="590" w:lineRule="exact"/>
        <w:ind w:firstLine="640"/>
        <w:rPr>
          <w:rFonts w:eastAsia="仿宋_GB2312"/>
          <w:sz w:val="32"/>
          <w:szCs w:val="32"/>
        </w:rPr>
      </w:pPr>
      <w:r>
        <w:rPr>
          <w:rFonts w:eastAsia="仿宋_GB2312"/>
          <w:sz w:val="32"/>
          <w:szCs w:val="32"/>
        </w:rPr>
        <w:t>潮白河流域种植业污染主要为大厂县、香河县段堤内农田种植污染，由于潮白河在大厂县境内河长较短，大厂县影响相对较小，此处仅计算香河县农田种植污染。香河县堤内村庄田地根据种植面积，主要种植小麦、林地、果树、玉米和蔬菜等。其中小麦种植范围最大，达到2520亩。</w:t>
      </w:r>
    </w:p>
    <w:p>
      <w:pPr>
        <w:spacing w:before="163" w:beforeLines="50" w:after="163" w:afterLines="50" w:line="584" w:lineRule="exact"/>
        <w:ind w:firstLine="0" w:firstLineChars="0"/>
        <w:jc w:val="center"/>
        <w:rPr>
          <w:rFonts w:ascii="黑体" w:hAnsi="黑体" w:eastAsia="黑体"/>
          <w:sz w:val="32"/>
          <w:szCs w:val="32"/>
        </w:rPr>
      </w:pPr>
      <w:r>
        <w:rPr>
          <w:rFonts w:ascii="黑体" w:hAnsi="黑体" w:eastAsia="黑体"/>
          <w:sz w:val="32"/>
          <w:szCs w:val="32"/>
        </w:rPr>
        <w:t>表4</w:t>
      </w:r>
      <w:r>
        <w:rPr>
          <w:rFonts w:hint="eastAsia" w:eastAsia="黑体"/>
          <w:sz w:val="32"/>
          <w:szCs w:val="32"/>
        </w:rPr>
        <w:t>-</w:t>
      </w:r>
      <w:r>
        <w:rPr>
          <w:rFonts w:ascii="黑体" w:hAnsi="黑体" w:eastAsia="黑体"/>
          <w:sz w:val="32"/>
          <w:szCs w:val="32"/>
        </w:rPr>
        <w:t>9　堤内村庄田地利用情况</w:t>
      </w:r>
    </w:p>
    <w:tbl>
      <w:tblPr>
        <w:tblStyle w:val="13"/>
        <w:tblW w:w="8818" w:type="dxa"/>
        <w:tblInd w:w="108" w:type="dxa"/>
        <w:tblLayout w:type="fixed"/>
        <w:tblCellMar>
          <w:top w:w="0" w:type="dxa"/>
          <w:left w:w="108" w:type="dxa"/>
          <w:bottom w:w="0" w:type="dxa"/>
          <w:right w:w="108" w:type="dxa"/>
        </w:tblCellMar>
      </w:tblPr>
      <w:tblGrid>
        <w:gridCol w:w="649"/>
        <w:gridCol w:w="1032"/>
        <w:gridCol w:w="1483"/>
        <w:gridCol w:w="1231"/>
        <w:gridCol w:w="1231"/>
        <w:gridCol w:w="1231"/>
        <w:gridCol w:w="1231"/>
        <w:gridCol w:w="730"/>
      </w:tblGrid>
      <w:tr>
        <w:tblPrEx>
          <w:tblLayout w:type="fixed"/>
          <w:tblCellMar>
            <w:top w:w="0" w:type="dxa"/>
            <w:left w:w="108" w:type="dxa"/>
            <w:bottom w:w="0" w:type="dxa"/>
            <w:right w:w="108" w:type="dxa"/>
          </w:tblCellMar>
        </w:tblPrEx>
        <w:trPr>
          <w:trHeight w:val="693" w:hRule="atLeast"/>
          <w:tblHeader/>
        </w:trPr>
        <w:tc>
          <w:tcPr>
            <w:tcW w:w="649"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编号</w:t>
            </w:r>
          </w:p>
        </w:tc>
        <w:tc>
          <w:tcPr>
            <w:tcW w:w="1032"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乡镇</w:t>
            </w:r>
          </w:p>
        </w:tc>
        <w:tc>
          <w:tcPr>
            <w:tcW w:w="1483"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村庄</w:t>
            </w:r>
          </w:p>
        </w:tc>
        <w:tc>
          <w:tcPr>
            <w:tcW w:w="5654" w:type="dxa"/>
            <w:gridSpan w:val="5"/>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土地利用（亩）</w:t>
            </w:r>
          </w:p>
        </w:tc>
      </w:tr>
      <w:tr>
        <w:tblPrEx>
          <w:tblLayout w:type="fixed"/>
          <w:tblCellMar>
            <w:top w:w="0" w:type="dxa"/>
            <w:left w:w="108" w:type="dxa"/>
            <w:bottom w:w="0" w:type="dxa"/>
            <w:right w:w="108" w:type="dxa"/>
          </w:tblCellMar>
        </w:tblPrEx>
        <w:trPr>
          <w:trHeight w:val="693" w:hRule="atLeast"/>
          <w:tblHeader/>
        </w:trPr>
        <w:tc>
          <w:tcPr>
            <w:tcW w:w="649"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p>
        </w:tc>
        <w:tc>
          <w:tcPr>
            <w:tcW w:w="103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p>
        </w:tc>
        <w:tc>
          <w:tcPr>
            <w:tcW w:w="1483"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小麦</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玉米</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果树</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蔬菜</w:t>
            </w:r>
          </w:p>
        </w:tc>
        <w:tc>
          <w:tcPr>
            <w:tcW w:w="73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林地</w:t>
            </w:r>
          </w:p>
        </w:tc>
      </w:tr>
      <w:tr>
        <w:tblPrEx>
          <w:tblLayout w:type="fixed"/>
          <w:tblCellMar>
            <w:top w:w="0" w:type="dxa"/>
            <w:left w:w="108" w:type="dxa"/>
            <w:bottom w:w="0" w:type="dxa"/>
            <w:right w:w="108" w:type="dxa"/>
          </w:tblCellMar>
        </w:tblPrEx>
        <w:trPr>
          <w:trHeight w:val="693" w:hRule="atLeast"/>
        </w:trPr>
        <w:tc>
          <w:tcPr>
            <w:tcW w:w="649"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1</w:t>
            </w:r>
          </w:p>
        </w:tc>
        <w:tc>
          <w:tcPr>
            <w:tcW w:w="1032"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蒋辛屯镇</w:t>
            </w:r>
          </w:p>
        </w:tc>
        <w:tc>
          <w:tcPr>
            <w:tcW w:w="148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苍头村</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400</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300</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c>
          <w:tcPr>
            <w:tcW w:w="73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r>
      <w:tr>
        <w:tblPrEx>
          <w:tblLayout w:type="fixed"/>
          <w:tblCellMar>
            <w:top w:w="0" w:type="dxa"/>
            <w:left w:w="108" w:type="dxa"/>
            <w:bottom w:w="0" w:type="dxa"/>
            <w:right w:w="108" w:type="dxa"/>
          </w:tblCellMar>
        </w:tblPrEx>
        <w:trPr>
          <w:trHeight w:val="693" w:hRule="atLeast"/>
        </w:trPr>
        <w:tc>
          <w:tcPr>
            <w:tcW w:w="649"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2</w:t>
            </w:r>
          </w:p>
        </w:tc>
        <w:tc>
          <w:tcPr>
            <w:tcW w:w="103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p>
        </w:tc>
        <w:tc>
          <w:tcPr>
            <w:tcW w:w="148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王店子村</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750</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1200</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20</w:t>
            </w:r>
          </w:p>
        </w:tc>
        <w:tc>
          <w:tcPr>
            <w:tcW w:w="73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r>
      <w:tr>
        <w:tblPrEx>
          <w:tblLayout w:type="fixed"/>
          <w:tblCellMar>
            <w:top w:w="0" w:type="dxa"/>
            <w:left w:w="108" w:type="dxa"/>
            <w:bottom w:w="0" w:type="dxa"/>
            <w:right w:w="108" w:type="dxa"/>
          </w:tblCellMar>
        </w:tblPrEx>
        <w:trPr>
          <w:trHeight w:val="693" w:hRule="atLeast"/>
        </w:trPr>
        <w:tc>
          <w:tcPr>
            <w:tcW w:w="649"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3</w:t>
            </w:r>
          </w:p>
        </w:tc>
        <w:tc>
          <w:tcPr>
            <w:tcW w:w="103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p>
        </w:tc>
        <w:tc>
          <w:tcPr>
            <w:tcW w:w="148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北吴村</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700</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20</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c>
          <w:tcPr>
            <w:tcW w:w="73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r>
      <w:tr>
        <w:tblPrEx>
          <w:tblLayout w:type="fixed"/>
          <w:tblCellMar>
            <w:top w:w="0" w:type="dxa"/>
            <w:left w:w="108" w:type="dxa"/>
            <w:bottom w:w="0" w:type="dxa"/>
            <w:right w:w="108" w:type="dxa"/>
          </w:tblCellMar>
        </w:tblPrEx>
        <w:trPr>
          <w:trHeight w:val="693" w:hRule="atLeast"/>
        </w:trPr>
        <w:tc>
          <w:tcPr>
            <w:tcW w:w="649"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4</w:t>
            </w:r>
          </w:p>
        </w:tc>
        <w:tc>
          <w:tcPr>
            <w:tcW w:w="103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p>
        </w:tc>
        <w:tc>
          <w:tcPr>
            <w:tcW w:w="148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杨簸箕村</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600</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c>
          <w:tcPr>
            <w:tcW w:w="73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800</w:t>
            </w:r>
          </w:p>
        </w:tc>
      </w:tr>
      <w:tr>
        <w:tblPrEx>
          <w:tblLayout w:type="fixed"/>
          <w:tblCellMar>
            <w:top w:w="0" w:type="dxa"/>
            <w:left w:w="108" w:type="dxa"/>
            <w:bottom w:w="0" w:type="dxa"/>
            <w:right w:w="108" w:type="dxa"/>
          </w:tblCellMar>
        </w:tblPrEx>
        <w:trPr>
          <w:trHeight w:val="693" w:hRule="atLeast"/>
        </w:trPr>
        <w:tc>
          <w:tcPr>
            <w:tcW w:w="649"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5</w:t>
            </w:r>
          </w:p>
        </w:tc>
        <w:tc>
          <w:tcPr>
            <w:tcW w:w="1032"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淑阳镇</w:t>
            </w:r>
          </w:p>
        </w:tc>
        <w:tc>
          <w:tcPr>
            <w:tcW w:w="148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程辛庄村</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820</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80</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w:t>
            </w:r>
          </w:p>
        </w:tc>
        <w:tc>
          <w:tcPr>
            <w:tcW w:w="73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140</w:t>
            </w:r>
          </w:p>
        </w:tc>
      </w:tr>
      <w:tr>
        <w:tblPrEx>
          <w:tblLayout w:type="fixed"/>
          <w:tblCellMar>
            <w:top w:w="0" w:type="dxa"/>
            <w:left w:w="108" w:type="dxa"/>
            <w:bottom w:w="0" w:type="dxa"/>
            <w:right w:w="108" w:type="dxa"/>
          </w:tblCellMar>
        </w:tblPrEx>
        <w:trPr>
          <w:trHeight w:val="693" w:hRule="atLeast"/>
        </w:trPr>
        <w:tc>
          <w:tcPr>
            <w:tcW w:w="3164"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合计</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2520</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830</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1520</w:t>
            </w:r>
          </w:p>
        </w:tc>
        <w:tc>
          <w:tcPr>
            <w:tcW w:w="1231"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100</w:t>
            </w:r>
          </w:p>
        </w:tc>
        <w:tc>
          <w:tcPr>
            <w:tcW w:w="730"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1100</w:t>
            </w:r>
          </w:p>
        </w:tc>
      </w:tr>
    </w:tbl>
    <w:p>
      <w:pPr>
        <w:spacing w:line="590" w:lineRule="exact"/>
        <w:ind w:firstLine="640"/>
        <w:rPr>
          <w:rFonts w:eastAsia="仿宋_GB2312"/>
          <w:sz w:val="32"/>
          <w:szCs w:val="32"/>
        </w:rPr>
      </w:pPr>
      <w:r>
        <w:rPr>
          <w:rFonts w:eastAsia="仿宋_GB2312"/>
          <w:sz w:val="32"/>
          <w:szCs w:val="32"/>
        </w:rPr>
        <w:t>香河县堤外农村共9个，农田灌溉退水主要进入百家湾排干渠、田贾庄排干渠，根据香河县国民经济统计资料汇编数据，各村庄粮食产量如下表所示。</w:t>
      </w:r>
    </w:p>
    <w:p>
      <w:pPr>
        <w:spacing w:before="163" w:beforeLines="50" w:after="163" w:afterLines="50" w:line="584" w:lineRule="exact"/>
        <w:ind w:firstLine="0" w:firstLineChars="0"/>
        <w:jc w:val="center"/>
        <w:rPr>
          <w:rFonts w:ascii="黑体" w:hAnsi="黑体" w:eastAsia="黑体"/>
          <w:sz w:val="32"/>
          <w:szCs w:val="32"/>
        </w:rPr>
      </w:pPr>
      <w:r>
        <w:rPr>
          <w:rFonts w:ascii="黑体" w:hAnsi="黑体" w:eastAsia="黑体"/>
          <w:sz w:val="32"/>
          <w:szCs w:val="32"/>
        </w:rPr>
        <w:t>表4</w:t>
      </w:r>
      <w:r>
        <w:rPr>
          <w:rFonts w:hint="eastAsia" w:eastAsia="黑体"/>
          <w:sz w:val="32"/>
          <w:szCs w:val="32"/>
        </w:rPr>
        <w:t>-</w:t>
      </w:r>
      <w:r>
        <w:rPr>
          <w:rFonts w:ascii="黑体" w:hAnsi="黑体" w:eastAsia="黑体"/>
          <w:sz w:val="32"/>
          <w:szCs w:val="32"/>
        </w:rPr>
        <w:t>10　堤外村庄粮食产量</w:t>
      </w:r>
    </w:p>
    <w:tbl>
      <w:tblPr>
        <w:tblStyle w:val="13"/>
        <w:tblW w:w="8790" w:type="dxa"/>
        <w:jc w:val="center"/>
        <w:tblInd w:w="441" w:type="dxa"/>
        <w:tblLayout w:type="fixed"/>
        <w:tblCellMar>
          <w:top w:w="0" w:type="dxa"/>
          <w:left w:w="108" w:type="dxa"/>
          <w:bottom w:w="0" w:type="dxa"/>
          <w:right w:w="108" w:type="dxa"/>
        </w:tblCellMar>
      </w:tblPr>
      <w:tblGrid>
        <w:gridCol w:w="744"/>
        <w:gridCol w:w="2418"/>
        <w:gridCol w:w="1557"/>
        <w:gridCol w:w="1876"/>
        <w:gridCol w:w="2195"/>
      </w:tblGrid>
      <w:tr>
        <w:tblPrEx>
          <w:tblLayout w:type="fixed"/>
          <w:tblCellMar>
            <w:top w:w="0" w:type="dxa"/>
            <w:left w:w="108" w:type="dxa"/>
            <w:bottom w:w="0" w:type="dxa"/>
            <w:right w:w="108" w:type="dxa"/>
          </w:tblCellMar>
        </w:tblPrEx>
        <w:trPr>
          <w:trHeight w:val="623" w:hRule="exact"/>
          <w:tblHeader/>
          <w:jc w:val="center"/>
        </w:trPr>
        <w:tc>
          <w:tcPr>
            <w:tcW w:w="744"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编号</w:t>
            </w:r>
          </w:p>
        </w:tc>
        <w:tc>
          <w:tcPr>
            <w:tcW w:w="241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乡镇</w:t>
            </w:r>
          </w:p>
        </w:tc>
        <w:tc>
          <w:tcPr>
            <w:tcW w:w="155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村庄</w:t>
            </w:r>
          </w:p>
        </w:tc>
        <w:tc>
          <w:tcPr>
            <w:tcW w:w="187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粮食产量（吨）</w:t>
            </w:r>
          </w:p>
        </w:tc>
        <w:tc>
          <w:tcPr>
            <w:tcW w:w="21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涉及排干渠</w:t>
            </w:r>
          </w:p>
        </w:tc>
      </w:tr>
      <w:tr>
        <w:tblPrEx>
          <w:tblLayout w:type="fixed"/>
          <w:tblCellMar>
            <w:top w:w="0" w:type="dxa"/>
            <w:left w:w="108" w:type="dxa"/>
            <w:bottom w:w="0" w:type="dxa"/>
            <w:right w:w="108" w:type="dxa"/>
          </w:tblCellMar>
        </w:tblPrEx>
        <w:trPr>
          <w:trHeight w:val="623" w:hRule="exact"/>
          <w:jc w:val="center"/>
        </w:trPr>
        <w:tc>
          <w:tcPr>
            <w:tcW w:w="7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w:t>
            </w:r>
          </w:p>
        </w:tc>
        <w:tc>
          <w:tcPr>
            <w:tcW w:w="2418"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钱旺镇</w:t>
            </w:r>
          </w:p>
        </w:tc>
        <w:tc>
          <w:tcPr>
            <w:tcW w:w="155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田贾庄</w:t>
            </w:r>
          </w:p>
        </w:tc>
        <w:tc>
          <w:tcPr>
            <w:tcW w:w="187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753</w:t>
            </w:r>
          </w:p>
        </w:tc>
        <w:tc>
          <w:tcPr>
            <w:tcW w:w="2195"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田贾庄排干渠</w:t>
            </w:r>
          </w:p>
        </w:tc>
      </w:tr>
      <w:tr>
        <w:tblPrEx>
          <w:tblLayout w:type="fixed"/>
          <w:tblCellMar>
            <w:top w:w="0" w:type="dxa"/>
            <w:left w:w="108" w:type="dxa"/>
            <w:bottom w:w="0" w:type="dxa"/>
            <w:right w:w="108" w:type="dxa"/>
          </w:tblCellMar>
        </w:tblPrEx>
        <w:trPr>
          <w:trHeight w:val="623" w:hRule="exact"/>
          <w:jc w:val="center"/>
        </w:trPr>
        <w:tc>
          <w:tcPr>
            <w:tcW w:w="7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w:t>
            </w:r>
          </w:p>
        </w:tc>
        <w:tc>
          <w:tcPr>
            <w:tcW w:w="241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c>
          <w:tcPr>
            <w:tcW w:w="155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北刘庄</w:t>
            </w:r>
          </w:p>
        </w:tc>
        <w:tc>
          <w:tcPr>
            <w:tcW w:w="187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498</w:t>
            </w:r>
          </w:p>
        </w:tc>
        <w:tc>
          <w:tcPr>
            <w:tcW w:w="219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r>
      <w:tr>
        <w:tblPrEx>
          <w:tblLayout w:type="fixed"/>
          <w:tblCellMar>
            <w:top w:w="0" w:type="dxa"/>
            <w:left w:w="108" w:type="dxa"/>
            <w:bottom w:w="0" w:type="dxa"/>
            <w:right w:w="108" w:type="dxa"/>
          </w:tblCellMar>
        </w:tblPrEx>
        <w:trPr>
          <w:trHeight w:val="623" w:hRule="exact"/>
          <w:jc w:val="center"/>
        </w:trPr>
        <w:tc>
          <w:tcPr>
            <w:tcW w:w="7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w:t>
            </w:r>
          </w:p>
        </w:tc>
        <w:tc>
          <w:tcPr>
            <w:tcW w:w="241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c>
          <w:tcPr>
            <w:tcW w:w="155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袁庄</w:t>
            </w:r>
          </w:p>
        </w:tc>
        <w:tc>
          <w:tcPr>
            <w:tcW w:w="187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101</w:t>
            </w:r>
          </w:p>
        </w:tc>
        <w:tc>
          <w:tcPr>
            <w:tcW w:w="219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r>
      <w:tr>
        <w:tblPrEx>
          <w:tblLayout w:type="fixed"/>
          <w:tblCellMar>
            <w:top w:w="0" w:type="dxa"/>
            <w:left w:w="108" w:type="dxa"/>
            <w:bottom w:w="0" w:type="dxa"/>
            <w:right w:w="108" w:type="dxa"/>
          </w:tblCellMar>
        </w:tblPrEx>
        <w:trPr>
          <w:trHeight w:val="623" w:hRule="exact"/>
          <w:jc w:val="center"/>
        </w:trPr>
        <w:tc>
          <w:tcPr>
            <w:tcW w:w="7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4</w:t>
            </w:r>
          </w:p>
        </w:tc>
        <w:tc>
          <w:tcPr>
            <w:tcW w:w="241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c>
          <w:tcPr>
            <w:tcW w:w="155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马房顶</w:t>
            </w:r>
          </w:p>
        </w:tc>
        <w:tc>
          <w:tcPr>
            <w:tcW w:w="187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338</w:t>
            </w:r>
          </w:p>
        </w:tc>
        <w:tc>
          <w:tcPr>
            <w:tcW w:w="219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r>
      <w:tr>
        <w:tblPrEx>
          <w:tblLayout w:type="fixed"/>
          <w:tblCellMar>
            <w:top w:w="0" w:type="dxa"/>
            <w:left w:w="108" w:type="dxa"/>
            <w:bottom w:w="0" w:type="dxa"/>
            <w:right w:w="108" w:type="dxa"/>
          </w:tblCellMar>
        </w:tblPrEx>
        <w:trPr>
          <w:trHeight w:val="623" w:hRule="exact"/>
          <w:jc w:val="center"/>
        </w:trPr>
        <w:tc>
          <w:tcPr>
            <w:tcW w:w="7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w:t>
            </w:r>
          </w:p>
        </w:tc>
        <w:tc>
          <w:tcPr>
            <w:tcW w:w="241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c>
          <w:tcPr>
            <w:tcW w:w="155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土堡子</w:t>
            </w:r>
          </w:p>
        </w:tc>
        <w:tc>
          <w:tcPr>
            <w:tcW w:w="187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376</w:t>
            </w:r>
          </w:p>
        </w:tc>
        <w:tc>
          <w:tcPr>
            <w:tcW w:w="219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r>
      <w:tr>
        <w:tblPrEx>
          <w:tblLayout w:type="fixed"/>
          <w:tblCellMar>
            <w:top w:w="0" w:type="dxa"/>
            <w:left w:w="108" w:type="dxa"/>
            <w:bottom w:w="0" w:type="dxa"/>
            <w:right w:w="108" w:type="dxa"/>
          </w:tblCellMar>
        </w:tblPrEx>
        <w:trPr>
          <w:trHeight w:val="623" w:hRule="exact"/>
          <w:jc w:val="center"/>
        </w:trPr>
        <w:tc>
          <w:tcPr>
            <w:tcW w:w="7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6</w:t>
            </w:r>
          </w:p>
        </w:tc>
        <w:tc>
          <w:tcPr>
            <w:tcW w:w="2418"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新兴产业示范区</w:t>
            </w:r>
          </w:p>
        </w:tc>
        <w:tc>
          <w:tcPr>
            <w:tcW w:w="155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大荒庄</w:t>
            </w:r>
          </w:p>
        </w:tc>
        <w:tc>
          <w:tcPr>
            <w:tcW w:w="187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138</w:t>
            </w:r>
          </w:p>
        </w:tc>
        <w:tc>
          <w:tcPr>
            <w:tcW w:w="2195"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百家湾排干渠</w:t>
            </w:r>
          </w:p>
        </w:tc>
      </w:tr>
      <w:tr>
        <w:tblPrEx>
          <w:tblLayout w:type="fixed"/>
          <w:tblCellMar>
            <w:top w:w="0" w:type="dxa"/>
            <w:left w:w="108" w:type="dxa"/>
            <w:bottom w:w="0" w:type="dxa"/>
            <w:right w:w="108" w:type="dxa"/>
          </w:tblCellMar>
        </w:tblPrEx>
        <w:trPr>
          <w:trHeight w:val="623" w:hRule="exact"/>
          <w:jc w:val="center"/>
        </w:trPr>
        <w:tc>
          <w:tcPr>
            <w:tcW w:w="7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7</w:t>
            </w:r>
          </w:p>
        </w:tc>
        <w:tc>
          <w:tcPr>
            <w:tcW w:w="241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c>
          <w:tcPr>
            <w:tcW w:w="155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前骆驼港</w:t>
            </w:r>
          </w:p>
        </w:tc>
        <w:tc>
          <w:tcPr>
            <w:tcW w:w="187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380</w:t>
            </w:r>
          </w:p>
        </w:tc>
        <w:tc>
          <w:tcPr>
            <w:tcW w:w="219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r>
      <w:tr>
        <w:tblPrEx>
          <w:tblLayout w:type="fixed"/>
          <w:tblCellMar>
            <w:top w:w="0" w:type="dxa"/>
            <w:left w:w="108" w:type="dxa"/>
            <w:bottom w:w="0" w:type="dxa"/>
            <w:right w:w="108" w:type="dxa"/>
          </w:tblCellMar>
        </w:tblPrEx>
        <w:trPr>
          <w:trHeight w:val="623" w:hRule="exact"/>
          <w:jc w:val="center"/>
        </w:trPr>
        <w:tc>
          <w:tcPr>
            <w:tcW w:w="7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8</w:t>
            </w:r>
          </w:p>
        </w:tc>
        <w:tc>
          <w:tcPr>
            <w:tcW w:w="241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c>
          <w:tcPr>
            <w:tcW w:w="155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小朱庄</w:t>
            </w:r>
          </w:p>
        </w:tc>
        <w:tc>
          <w:tcPr>
            <w:tcW w:w="187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c>
          <w:tcPr>
            <w:tcW w:w="219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r>
      <w:tr>
        <w:tblPrEx>
          <w:tblLayout w:type="fixed"/>
          <w:tblCellMar>
            <w:top w:w="0" w:type="dxa"/>
            <w:left w:w="108" w:type="dxa"/>
            <w:bottom w:w="0" w:type="dxa"/>
            <w:right w:w="108" w:type="dxa"/>
          </w:tblCellMar>
        </w:tblPrEx>
        <w:trPr>
          <w:trHeight w:val="623" w:hRule="exact"/>
          <w:jc w:val="center"/>
        </w:trPr>
        <w:tc>
          <w:tcPr>
            <w:tcW w:w="74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9</w:t>
            </w:r>
          </w:p>
        </w:tc>
        <w:tc>
          <w:tcPr>
            <w:tcW w:w="241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c>
          <w:tcPr>
            <w:tcW w:w="155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百家湾</w:t>
            </w:r>
          </w:p>
        </w:tc>
        <w:tc>
          <w:tcPr>
            <w:tcW w:w="187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569</w:t>
            </w:r>
          </w:p>
        </w:tc>
        <w:tc>
          <w:tcPr>
            <w:tcW w:w="219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olor w:val="000000"/>
                <w:kern w:val="0"/>
                <w:sz w:val="21"/>
                <w:szCs w:val="21"/>
              </w:rPr>
            </w:pPr>
          </w:p>
        </w:tc>
      </w:tr>
      <w:tr>
        <w:tblPrEx>
          <w:tblLayout w:type="fixed"/>
          <w:tblCellMar>
            <w:top w:w="0" w:type="dxa"/>
            <w:left w:w="108" w:type="dxa"/>
            <w:bottom w:w="0" w:type="dxa"/>
            <w:right w:w="108" w:type="dxa"/>
          </w:tblCellMar>
        </w:tblPrEx>
        <w:trPr>
          <w:trHeight w:val="623" w:hRule="exact"/>
          <w:jc w:val="center"/>
        </w:trPr>
        <w:tc>
          <w:tcPr>
            <w:tcW w:w="4719"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合计</w:t>
            </w:r>
          </w:p>
        </w:tc>
        <w:tc>
          <w:tcPr>
            <w:tcW w:w="187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color w:val="000000"/>
                <w:kern w:val="0"/>
                <w:sz w:val="21"/>
                <w:szCs w:val="21"/>
              </w:rPr>
            </w:pPr>
            <w:r>
              <w:rPr>
                <w:rFonts w:eastAsia="仿宋_GB2312"/>
                <w:b/>
                <w:color w:val="000000"/>
                <w:kern w:val="0"/>
                <w:sz w:val="21"/>
                <w:szCs w:val="21"/>
              </w:rPr>
              <w:t>3153</w:t>
            </w:r>
          </w:p>
        </w:tc>
        <w:tc>
          <w:tcPr>
            <w:tcW w:w="2195"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w:t>
            </w:r>
          </w:p>
        </w:tc>
      </w:tr>
    </w:tbl>
    <w:p>
      <w:pPr>
        <w:spacing w:before="163" w:beforeLines="50" w:line="560" w:lineRule="exact"/>
        <w:ind w:firstLine="640"/>
        <w:rPr>
          <w:rFonts w:eastAsia="仿宋_GB2312"/>
          <w:sz w:val="32"/>
          <w:szCs w:val="32"/>
        </w:rPr>
      </w:pPr>
      <w:r>
        <w:rPr>
          <w:rFonts w:eastAsia="仿宋_GB2312"/>
          <w:sz w:val="32"/>
          <w:szCs w:val="32"/>
        </w:rPr>
        <w:t>（3）农村生活</w:t>
      </w:r>
    </w:p>
    <w:p>
      <w:pPr>
        <w:spacing w:line="560" w:lineRule="exact"/>
        <w:ind w:firstLine="616"/>
        <w:rPr>
          <w:rFonts w:eastAsia="仿宋_GB2312"/>
          <w:spacing w:val="-6"/>
          <w:sz w:val="32"/>
          <w:szCs w:val="32"/>
        </w:rPr>
      </w:pPr>
      <w:r>
        <w:rPr>
          <w:rFonts w:eastAsia="仿宋_GB2312"/>
          <w:spacing w:val="-6"/>
          <w:sz w:val="32"/>
          <w:szCs w:val="32"/>
        </w:rPr>
        <w:t>潮白河流域农村生活污染主要为大厂县、香河县段堤内村庄的农村生活污染，由于潮白河在大厂县境内河长较短，大厂县影响相对较小，此处仅计算香河县农村生活污染。香河县共涉及1431户，4413人。按人均农村50升/天，估算得出生活污水日排放量为220.7吨，年排放总量约8.1万吨，具体测算见下表。</w:t>
      </w:r>
    </w:p>
    <w:p>
      <w:pPr>
        <w:spacing w:before="163" w:beforeLines="50" w:after="163" w:afterLines="50" w:line="584" w:lineRule="exact"/>
        <w:ind w:firstLine="0" w:firstLineChars="0"/>
        <w:jc w:val="center"/>
        <w:rPr>
          <w:rFonts w:ascii="黑体" w:hAnsi="黑体" w:eastAsia="黑体"/>
          <w:sz w:val="32"/>
          <w:szCs w:val="32"/>
        </w:rPr>
      </w:pPr>
      <w:r>
        <w:rPr>
          <w:rFonts w:ascii="黑体" w:hAnsi="黑体" w:eastAsia="黑体"/>
          <w:sz w:val="32"/>
          <w:szCs w:val="32"/>
        </w:rPr>
        <w:t>表4</w:t>
      </w:r>
      <w:r>
        <w:rPr>
          <w:rFonts w:hint="eastAsia" w:eastAsia="黑体"/>
          <w:sz w:val="32"/>
          <w:szCs w:val="32"/>
        </w:rPr>
        <w:t>-</w:t>
      </w:r>
      <w:r>
        <w:rPr>
          <w:rFonts w:ascii="黑体" w:hAnsi="黑体" w:eastAsia="黑体"/>
          <w:sz w:val="32"/>
          <w:szCs w:val="32"/>
        </w:rPr>
        <w:t>11　堤内村庄人口及废水排放量测算</w:t>
      </w:r>
    </w:p>
    <w:tbl>
      <w:tblPr>
        <w:tblStyle w:val="13"/>
        <w:tblW w:w="8819" w:type="dxa"/>
        <w:tblInd w:w="-5" w:type="dxa"/>
        <w:tblLayout w:type="fixed"/>
        <w:tblCellMar>
          <w:top w:w="0" w:type="dxa"/>
          <w:left w:w="0" w:type="dxa"/>
          <w:bottom w:w="0" w:type="dxa"/>
          <w:right w:w="0" w:type="dxa"/>
        </w:tblCellMar>
      </w:tblPr>
      <w:tblGrid>
        <w:gridCol w:w="743"/>
        <w:gridCol w:w="1167"/>
        <w:gridCol w:w="1379"/>
        <w:gridCol w:w="824"/>
        <w:gridCol w:w="889"/>
        <w:gridCol w:w="1764"/>
        <w:gridCol w:w="2053"/>
      </w:tblGrid>
      <w:tr>
        <w:tblPrEx>
          <w:tblLayout w:type="fixed"/>
          <w:tblCellMar>
            <w:top w:w="0" w:type="dxa"/>
            <w:left w:w="0" w:type="dxa"/>
            <w:bottom w:w="0" w:type="dxa"/>
            <w:right w:w="0" w:type="dxa"/>
          </w:tblCellMar>
        </w:tblPrEx>
        <w:trPr>
          <w:trHeight w:val="464" w:hRule="atLeast"/>
          <w:tblHeader/>
        </w:trPr>
        <w:tc>
          <w:tcPr>
            <w:tcW w:w="743"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spacing w:val="-6"/>
                <w:kern w:val="0"/>
                <w:sz w:val="21"/>
                <w:szCs w:val="21"/>
              </w:rPr>
            </w:pPr>
            <w:r>
              <w:rPr>
                <w:rFonts w:eastAsia="仿宋_GB2312"/>
                <w:b/>
                <w:bCs/>
                <w:color w:val="000000"/>
                <w:spacing w:val="-6"/>
                <w:kern w:val="0"/>
                <w:sz w:val="21"/>
                <w:szCs w:val="21"/>
              </w:rPr>
              <w:t>编号</w:t>
            </w:r>
          </w:p>
        </w:tc>
        <w:tc>
          <w:tcPr>
            <w:tcW w:w="1167"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乡镇</w:t>
            </w:r>
          </w:p>
        </w:tc>
        <w:tc>
          <w:tcPr>
            <w:tcW w:w="1379"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村庄</w:t>
            </w:r>
          </w:p>
        </w:tc>
        <w:tc>
          <w:tcPr>
            <w:tcW w:w="1713" w:type="dxa"/>
            <w:gridSpan w:val="2"/>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人口</w:t>
            </w:r>
          </w:p>
        </w:tc>
        <w:tc>
          <w:tcPr>
            <w:tcW w:w="3817" w:type="dxa"/>
            <w:gridSpan w:val="2"/>
            <w:tcBorders>
              <w:top w:val="single" w:color="auto" w:sz="4" w:space="0"/>
              <w:left w:val="nil"/>
              <w:bottom w:val="single" w:color="auto" w:sz="4" w:space="0"/>
              <w:right w:val="single" w:color="000000"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生活污水排放量</w:t>
            </w:r>
          </w:p>
        </w:tc>
      </w:tr>
      <w:tr>
        <w:tblPrEx>
          <w:tblLayout w:type="fixed"/>
          <w:tblCellMar>
            <w:top w:w="0" w:type="dxa"/>
            <w:left w:w="0" w:type="dxa"/>
            <w:bottom w:w="0" w:type="dxa"/>
            <w:right w:w="0" w:type="dxa"/>
          </w:tblCellMar>
        </w:tblPrEx>
        <w:trPr>
          <w:trHeight w:val="506" w:hRule="atLeast"/>
          <w:tblHeader/>
        </w:trPr>
        <w:tc>
          <w:tcPr>
            <w:tcW w:w="743"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p>
        </w:tc>
        <w:tc>
          <w:tcPr>
            <w:tcW w:w="1167"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p>
        </w:tc>
        <w:tc>
          <w:tcPr>
            <w:tcW w:w="1379"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p>
        </w:tc>
        <w:tc>
          <w:tcPr>
            <w:tcW w:w="82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户数</w:t>
            </w:r>
          </w:p>
        </w:tc>
        <w:tc>
          <w:tcPr>
            <w:tcW w:w="889"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人数</w:t>
            </w:r>
          </w:p>
        </w:tc>
        <w:tc>
          <w:tcPr>
            <w:tcW w:w="176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日排放量（吨）</w:t>
            </w:r>
          </w:p>
        </w:tc>
        <w:tc>
          <w:tcPr>
            <w:tcW w:w="205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年排放量（万吨）</w:t>
            </w:r>
          </w:p>
        </w:tc>
      </w:tr>
      <w:tr>
        <w:tblPrEx>
          <w:tblLayout w:type="fixed"/>
          <w:tblCellMar>
            <w:top w:w="0" w:type="dxa"/>
            <w:left w:w="0" w:type="dxa"/>
            <w:bottom w:w="0" w:type="dxa"/>
            <w:right w:w="0" w:type="dxa"/>
          </w:tblCellMar>
        </w:tblPrEx>
        <w:trPr>
          <w:trHeight w:val="684" w:hRule="exact"/>
        </w:trPr>
        <w:tc>
          <w:tcPr>
            <w:tcW w:w="743"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1</w:t>
            </w:r>
          </w:p>
        </w:tc>
        <w:tc>
          <w:tcPr>
            <w:tcW w:w="1167"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蒋辛屯镇</w:t>
            </w:r>
          </w:p>
        </w:tc>
        <w:tc>
          <w:tcPr>
            <w:tcW w:w="1379"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苍头村</w:t>
            </w:r>
          </w:p>
        </w:tc>
        <w:tc>
          <w:tcPr>
            <w:tcW w:w="82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219</w:t>
            </w:r>
          </w:p>
        </w:tc>
        <w:tc>
          <w:tcPr>
            <w:tcW w:w="889"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631</w:t>
            </w:r>
          </w:p>
        </w:tc>
        <w:tc>
          <w:tcPr>
            <w:tcW w:w="176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31.6</w:t>
            </w:r>
          </w:p>
        </w:tc>
        <w:tc>
          <w:tcPr>
            <w:tcW w:w="205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1.2</w:t>
            </w:r>
          </w:p>
        </w:tc>
      </w:tr>
      <w:tr>
        <w:tblPrEx>
          <w:tblLayout w:type="fixed"/>
          <w:tblCellMar>
            <w:top w:w="0" w:type="dxa"/>
            <w:left w:w="0" w:type="dxa"/>
            <w:bottom w:w="0" w:type="dxa"/>
            <w:right w:w="0" w:type="dxa"/>
          </w:tblCellMar>
        </w:tblPrEx>
        <w:trPr>
          <w:trHeight w:val="684" w:hRule="exact"/>
        </w:trPr>
        <w:tc>
          <w:tcPr>
            <w:tcW w:w="743"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2</w:t>
            </w:r>
          </w:p>
        </w:tc>
        <w:tc>
          <w:tcPr>
            <w:tcW w:w="116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p>
        </w:tc>
        <w:tc>
          <w:tcPr>
            <w:tcW w:w="1379"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王店子村</w:t>
            </w:r>
          </w:p>
        </w:tc>
        <w:tc>
          <w:tcPr>
            <w:tcW w:w="82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288</w:t>
            </w:r>
          </w:p>
        </w:tc>
        <w:tc>
          <w:tcPr>
            <w:tcW w:w="889"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894</w:t>
            </w:r>
          </w:p>
        </w:tc>
        <w:tc>
          <w:tcPr>
            <w:tcW w:w="176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44.7</w:t>
            </w:r>
          </w:p>
        </w:tc>
        <w:tc>
          <w:tcPr>
            <w:tcW w:w="205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1.6</w:t>
            </w:r>
          </w:p>
        </w:tc>
      </w:tr>
      <w:tr>
        <w:tblPrEx>
          <w:tblLayout w:type="fixed"/>
          <w:tblCellMar>
            <w:top w:w="0" w:type="dxa"/>
            <w:left w:w="0" w:type="dxa"/>
            <w:bottom w:w="0" w:type="dxa"/>
            <w:right w:w="0" w:type="dxa"/>
          </w:tblCellMar>
        </w:tblPrEx>
        <w:trPr>
          <w:trHeight w:val="599" w:hRule="atLeast"/>
        </w:trPr>
        <w:tc>
          <w:tcPr>
            <w:tcW w:w="743"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3</w:t>
            </w:r>
          </w:p>
        </w:tc>
        <w:tc>
          <w:tcPr>
            <w:tcW w:w="116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p>
        </w:tc>
        <w:tc>
          <w:tcPr>
            <w:tcW w:w="1379"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北吴村</w:t>
            </w:r>
          </w:p>
        </w:tc>
        <w:tc>
          <w:tcPr>
            <w:tcW w:w="82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544</w:t>
            </w:r>
          </w:p>
        </w:tc>
        <w:tc>
          <w:tcPr>
            <w:tcW w:w="889"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1654</w:t>
            </w:r>
          </w:p>
        </w:tc>
        <w:tc>
          <w:tcPr>
            <w:tcW w:w="176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82.7</w:t>
            </w:r>
          </w:p>
        </w:tc>
        <w:tc>
          <w:tcPr>
            <w:tcW w:w="205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3.0</w:t>
            </w:r>
          </w:p>
        </w:tc>
      </w:tr>
      <w:tr>
        <w:tblPrEx>
          <w:tblLayout w:type="fixed"/>
          <w:tblCellMar>
            <w:top w:w="0" w:type="dxa"/>
            <w:left w:w="0" w:type="dxa"/>
            <w:bottom w:w="0" w:type="dxa"/>
            <w:right w:w="0" w:type="dxa"/>
          </w:tblCellMar>
        </w:tblPrEx>
        <w:trPr>
          <w:trHeight w:val="640" w:hRule="atLeast"/>
        </w:trPr>
        <w:tc>
          <w:tcPr>
            <w:tcW w:w="743"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4</w:t>
            </w:r>
          </w:p>
        </w:tc>
        <w:tc>
          <w:tcPr>
            <w:tcW w:w="116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p>
        </w:tc>
        <w:tc>
          <w:tcPr>
            <w:tcW w:w="1379"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杨簸箕村</w:t>
            </w:r>
          </w:p>
        </w:tc>
        <w:tc>
          <w:tcPr>
            <w:tcW w:w="82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169</w:t>
            </w:r>
          </w:p>
        </w:tc>
        <w:tc>
          <w:tcPr>
            <w:tcW w:w="889"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544</w:t>
            </w:r>
          </w:p>
        </w:tc>
        <w:tc>
          <w:tcPr>
            <w:tcW w:w="176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27.2</w:t>
            </w:r>
          </w:p>
        </w:tc>
        <w:tc>
          <w:tcPr>
            <w:tcW w:w="205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1.0</w:t>
            </w:r>
          </w:p>
        </w:tc>
      </w:tr>
      <w:tr>
        <w:tblPrEx>
          <w:tblLayout w:type="fixed"/>
          <w:tblCellMar>
            <w:top w:w="0" w:type="dxa"/>
            <w:left w:w="0" w:type="dxa"/>
            <w:bottom w:w="0" w:type="dxa"/>
            <w:right w:w="0" w:type="dxa"/>
          </w:tblCellMar>
        </w:tblPrEx>
        <w:trPr>
          <w:trHeight w:val="684" w:hRule="atLeast"/>
        </w:trPr>
        <w:tc>
          <w:tcPr>
            <w:tcW w:w="743"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5</w:t>
            </w:r>
          </w:p>
        </w:tc>
        <w:tc>
          <w:tcPr>
            <w:tcW w:w="1167"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淑阳镇</w:t>
            </w:r>
          </w:p>
        </w:tc>
        <w:tc>
          <w:tcPr>
            <w:tcW w:w="1379"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程辛庄村</w:t>
            </w:r>
          </w:p>
        </w:tc>
        <w:tc>
          <w:tcPr>
            <w:tcW w:w="82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211</w:t>
            </w:r>
          </w:p>
        </w:tc>
        <w:tc>
          <w:tcPr>
            <w:tcW w:w="889"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690</w:t>
            </w:r>
          </w:p>
        </w:tc>
        <w:tc>
          <w:tcPr>
            <w:tcW w:w="176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34.5</w:t>
            </w:r>
          </w:p>
        </w:tc>
        <w:tc>
          <w:tcPr>
            <w:tcW w:w="205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1.3</w:t>
            </w:r>
          </w:p>
        </w:tc>
      </w:tr>
      <w:tr>
        <w:tblPrEx>
          <w:tblLayout w:type="fixed"/>
          <w:tblCellMar>
            <w:top w:w="0" w:type="dxa"/>
            <w:left w:w="0" w:type="dxa"/>
            <w:bottom w:w="0" w:type="dxa"/>
            <w:right w:w="0" w:type="dxa"/>
          </w:tblCellMar>
        </w:tblPrEx>
        <w:trPr>
          <w:trHeight w:val="452" w:hRule="atLeast"/>
        </w:trPr>
        <w:tc>
          <w:tcPr>
            <w:tcW w:w="3289"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合计</w:t>
            </w:r>
          </w:p>
        </w:tc>
        <w:tc>
          <w:tcPr>
            <w:tcW w:w="82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1431</w:t>
            </w:r>
          </w:p>
        </w:tc>
        <w:tc>
          <w:tcPr>
            <w:tcW w:w="889"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4413</w:t>
            </w:r>
          </w:p>
        </w:tc>
        <w:tc>
          <w:tcPr>
            <w:tcW w:w="1764"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220.7</w:t>
            </w:r>
          </w:p>
        </w:tc>
        <w:tc>
          <w:tcPr>
            <w:tcW w:w="205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olor w:val="000000"/>
                <w:kern w:val="0"/>
                <w:sz w:val="21"/>
                <w:szCs w:val="21"/>
              </w:rPr>
            </w:pPr>
            <w:r>
              <w:rPr>
                <w:rFonts w:eastAsia="仿宋_GB2312"/>
                <w:color w:val="000000"/>
                <w:kern w:val="0"/>
                <w:sz w:val="21"/>
                <w:szCs w:val="21"/>
              </w:rPr>
              <w:t>8.1</w:t>
            </w:r>
          </w:p>
        </w:tc>
      </w:tr>
    </w:tbl>
    <w:p>
      <w:pPr>
        <w:spacing w:line="590" w:lineRule="exact"/>
        <w:ind w:firstLine="640"/>
        <w:rPr>
          <w:rFonts w:eastAsia="仿宋_GB2312"/>
          <w:sz w:val="32"/>
          <w:szCs w:val="32"/>
        </w:rPr>
      </w:pPr>
      <w:r>
        <w:rPr>
          <w:rFonts w:eastAsia="仿宋_GB2312"/>
          <w:sz w:val="32"/>
          <w:szCs w:val="32"/>
        </w:rPr>
        <w:t>估算农村生活污水的COD排放浓度值为200mg/L，氨氮排放浓度值为30mg/L，由此，计算得出农村居民生活污水排放污染物总量，具体见下表。</w:t>
      </w:r>
    </w:p>
    <w:p>
      <w:pPr>
        <w:spacing w:before="97" w:beforeLines="30" w:after="163" w:afterLines="50" w:line="584" w:lineRule="exact"/>
        <w:ind w:firstLine="0" w:firstLineChars="0"/>
        <w:jc w:val="center"/>
        <w:rPr>
          <w:rFonts w:ascii="黑体" w:hAnsi="黑体" w:eastAsia="黑体"/>
          <w:sz w:val="32"/>
          <w:szCs w:val="32"/>
        </w:rPr>
      </w:pPr>
      <w:r>
        <w:rPr>
          <w:rFonts w:ascii="黑体" w:hAnsi="黑体" w:eastAsia="黑体"/>
          <w:sz w:val="32"/>
          <w:szCs w:val="32"/>
        </w:rPr>
        <w:t>表4</w:t>
      </w:r>
      <w:r>
        <w:rPr>
          <w:rFonts w:hint="eastAsia" w:eastAsia="黑体"/>
          <w:sz w:val="32"/>
          <w:szCs w:val="32"/>
        </w:rPr>
        <w:t>-</w:t>
      </w:r>
      <w:r>
        <w:rPr>
          <w:rFonts w:ascii="黑体" w:hAnsi="黑体" w:eastAsia="黑体"/>
          <w:sz w:val="32"/>
          <w:szCs w:val="32"/>
        </w:rPr>
        <w:t>12　堤内农村居民生活用水污染物排放量</w:t>
      </w:r>
    </w:p>
    <w:tbl>
      <w:tblPr>
        <w:tblStyle w:val="13"/>
        <w:tblW w:w="8725" w:type="dxa"/>
        <w:jc w:val="center"/>
        <w:tblInd w:w="0" w:type="dxa"/>
        <w:tblLayout w:type="fixed"/>
        <w:tblCellMar>
          <w:top w:w="0" w:type="dxa"/>
          <w:left w:w="108" w:type="dxa"/>
          <w:bottom w:w="0" w:type="dxa"/>
          <w:right w:w="108" w:type="dxa"/>
        </w:tblCellMar>
      </w:tblPr>
      <w:tblGrid>
        <w:gridCol w:w="1709"/>
        <w:gridCol w:w="2032"/>
        <w:gridCol w:w="1544"/>
        <w:gridCol w:w="1788"/>
        <w:gridCol w:w="1652"/>
      </w:tblGrid>
      <w:tr>
        <w:tblPrEx>
          <w:tblLayout w:type="fixed"/>
          <w:tblCellMar>
            <w:top w:w="0" w:type="dxa"/>
            <w:left w:w="108" w:type="dxa"/>
            <w:bottom w:w="0" w:type="dxa"/>
            <w:right w:w="108" w:type="dxa"/>
          </w:tblCellMar>
        </w:tblPrEx>
        <w:trPr>
          <w:trHeight w:val="836" w:hRule="atLeast"/>
          <w:jc w:val="center"/>
        </w:trPr>
        <w:tc>
          <w:tcPr>
            <w:tcW w:w="1709" w:type="dxa"/>
            <w:tcBorders>
              <w:top w:val="single" w:color="auto" w:sz="8" w:space="0"/>
              <w:left w:val="single" w:color="auto" w:sz="8" w:space="0"/>
              <w:bottom w:val="single" w:color="auto" w:sz="8" w:space="0"/>
              <w:right w:val="single" w:color="auto" w:sz="8"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污水排放量（万吨/年）</w:t>
            </w:r>
          </w:p>
        </w:tc>
        <w:tc>
          <w:tcPr>
            <w:tcW w:w="2032" w:type="dxa"/>
            <w:tcBorders>
              <w:top w:val="single" w:color="auto" w:sz="8" w:space="0"/>
              <w:left w:val="nil"/>
              <w:bottom w:val="single" w:color="auto" w:sz="8" w:space="0"/>
              <w:right w:val="single" w:color="auto" w:sz="8"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COD排放浓度（mg/L）</w:t>
            </w:r>
          </w:p>
        </w:tc>
        <w:tc>
          <w:tcPr>
            <w:tcW w:w="1544" w:type="dxa"/>
            <w:tcBorders>
              <w:top w:val="single" w:color="auto" w:sz="8" w:space="0"/>
              <w:left w:val="nil"/>
              <w:bottom w:val="single" w:color="auto" w:sz="8" w:space="0"/>
              <w:right w:val="single" w:color="auto" w:sz="8"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氨氮排放浓度（mg/L）</w:t>
            </w:r>
          </w:p>
        </w:tc>
        <w:tc>
          <w:tcPr>
            <w:tcW w:w="1788" w:type="dxa"/>
            <w:tcBorders>
              <w:top w:val="single" w:color="auto" w:sz="8" w:space="0"/>
              <w:left w:val="nil"/>
              <w:bottom w:val="single" w:color="auto" w:sz="8" w:space="0"/>
              <w:right w:val="single" w:color="auto" w:sz="8"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COD排放量（吨/年）</w:t>
            </w:r>
          </w:p>
        </w:tc>
        <w:tc>
          <w:tcPr>
            <w:tcW w:w="1652" w:type="dxa"/>
            <w:tcBorders>
              <w:top w:val="single" w:color="auto" w:sz="8" w:space="0"/>
              <w:left w:val="nil"/>
              <w:bottom w:val="single" w:color="auto" w:sz="8" w:space="0"/>
              <w:right w:val="single" w:color="auto" w:sz="8" w:space="0"/>
            </w:tcBorders>
            <w:vAlign w:val="center"/>
          </w:tcPr>
          <w:p>
            <w:pPr>
              <w:widowControl/>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氨氮排放量（吨/年）</w:t>
            </w:r>
          </w:p>
        </w:tc>
      </w:tr>
      <w:tr>
        <w:tblPrEx>
          <w:tblLayout w:type="fixed"/>
          <w:tblCellMar>
            <w:top w:w="0" w:type="dxa"/>
            <w:left w:w="108" w:type="dxa"/>
            <w:bottom w:w="0" w:type="dxa"/>
            <w:right w:w="108" w:type="dxa"/>
          </w:tblCellMar>
        </w:tblPrEx>
        <w:trPr>
          <w:trHeight w:val="500" w:hRule="exact"/>
          <w:jc w:val="center"/>
        </w:trPr>
        <w:tc>
          <w:tcPr>
            <w:tcW w:w="1709" w:type="dxa"/>
            <w:tcBorders>
              <w:top w:val="single" w:color="auto" w:sz="8" w:space="0"/>
              <w:left w:val="single" w:color="000000" w:sz="8" w:space="0"/>
              <w:bottom w:val="single" w:color="000000" w:sz="8" w:space="0"/>
              <w:right w:val="single" w:color="000000" w:sz="8"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8.1</w:t>
            </w:r>
          </w:p>
        </w:tc>
        <w:tc>
          <w:tcPr>
            <w:tcW w:w="2032" w:type="dxa"/>
            <w:tcBorders>
              <w:top w:val="single" w:color="auto" w:sz="8" w:space="0"/>
              <w:left w:val="nil"/>
              <w:bottom w:val="single" w:color="000000" w:sz="8" w:space="0"/>
              <w:right w:val="single" w:color="000000" w:sz="8"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200</w:t>
            </w:r>
          </w:p>
        </w:tc>
        <w:tc>
          <w:tcPr>
            <w:tcW w:w="1544" w:type="dxa"/>
            <w:tcBorders>
              <w:top w:val="single" w:color="auto" w:sz="8" w:space="0"/>
              <w:left w:val="nil"/>
              <w:bottom w:val="single" w:color="000000" w:sz="8" w:space="0"/>
              <w:right w:val="single" w:color="000000" w:sz="8"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30</w:t>
            </w:r>
          </w:p>
        </w:tc>
        <w:tc>
          <w:tcPr>
            <w:tcW w:w="1788" w:type="dxa"/>
            <w:tcBorders>
              <w:top w:val="single" w:color="auto" w:sz="8" w:space="0"/>
              <w:left w:val="nil"/>
              <w:bottom w:val="single" w:color="000000" w:sz="8" w:space="0"/>
              <w:right w:val="single" w:color="000000" w:sz="8"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16.2</w:t>
            </w:r>
          </w:p>
        </w:tc>
        <w:tc>
          <w:tcPr>
            <w:tcW w:w="1652" w:type="dxa"/>
            <w:tcBorders>
              <w:top w:val="single" w:color="auto" w:sz="8" w:space="0"/>
              <w:left w:val="nil"/>
              <w:bottom w:val="single" w:color="000000" w:sz="8" w:space="0"/>
              <w:right w:val="single" w:color="000000" w:sz="8" w:space="0"/>
            </w:tcBorders>
            <w:vAlign w:val="center"/>
          </w:tcPr>
          <w:p>
            <w:pPr>
              <w:widowControl/>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2.4</w:t>
            </w:r>
          </w:p>
        </w:tc>
      </w:tr>
    </w:tbl>
    <w:p>
      <w:pPr>
        <w:spacing w:before="97" w:beforeLines="30" w:line="590" w:lineRule="exact"/>
        <w:ind w:firstLine="640"/>
        <w:rPr>
          <w:rFonts w:eastAsia="仿宋_GB2312"/>
          <w:sz w:val="32"/>
          <w:szCs w:val="32"/>
        </w:rPr>
      </w:pPr>
      <w:r>
        <w:rPr>
          <w:rFonts w:eastAsia="仿宋_GB2312"/>
          <w:sz w:val="32"/>
          <w:szCs w:val="32"/>
        </w:rPr>
        <w:t>综上，根据畜禽养殖、农业种植用地、农村生活情况，测算农业源排放量如下表所示。</w:t>
      </w:r>
    </w:p>
    <w:p>
      <w:pPr>
        <w:spacing w:before="97" w:beforeLines="30" w:after="163" w:afterLines="50" w:line="584" w:lineRule="exact"/>
        <w:ind w:firstLine="0" w:firstLineChars="0"/>
        <w:jc w:val="center"/>
        <w:rPr>
          <w:rFonts w:ascii="黑体" w:hAnsi="黑体" w:eastAsia="黑体"/>
          <w:sz w:val="32"/>
          <w:szCs w:val="32"/>
        </w:rPr>
      </w:pPr>
      <w:r>
        <w:rPr>
          <w:rFonts w:ascii="黑体" w:hAnsi="黑体" w:eastAsia="黑体"/>
          <w:sz w:val="32"/>
          <w:szCs w:val="32"/>
        </w:rPr>
        <w:t>表4</w:t>
      </w:r>
      <w:r>
        <w:rPr>
          <w:rFonts w:hint="eastAsia" w:eastAsia="黑体"/>
          <w:sz w:val="32"/>
          <w:szCs w:val="32"/>
        </w:rPr>
        <w:t>-</w:t>
      </w:r>
      <w:r>
        <w:rPr>
          <w:rFonts w:ascii="黑体" w:hAnsi="黑体" w:eastAsia="黑体"/>
          <w:sz w:val="32"/>
          <w:szCs w:val="32"/>
        </w:rPr>
        <w:t>13　农业污染物排放量</w:t>
      </w:r>
    </w:p>
    <w:tbl>
      <w:tblPr>
        <w:tblStyle w:val="13"/>
        <w:tblW w:w="8763" w:type="dxa"/>
        <w:jc w:val="center"/>
        <w:tblInd w:w="199" w:type="dxa"/>
        <w:tblLayout w:type="fixed"/>
        <w:tblCellMar>
          <w:top w:w="0" w:type="dxa"/>
          <w:left w:w="108" w:type="dxa"/>
          <w:bottom w:w="0" w:type="dxa"/>
          <w:right w:w="108" w:type="dxa"/>
        </w:tblCellMar>
      </w:tblPr>
      <w:tblGrid>
        <w:gridCol w:w="3278"/>
        <w:gridCol w:w="2818"/>
        <w:gridCol w:w="2667"/>
      </w:tblGrid>
      <w:tr>
        <w:tblPrEx>
          <w:tblLayout w:type="fixed"/>
          <w:tblCellMar>
            <w:top w:w="0" w:type="dxa"/>
            <w:left w:w="108" w:type="dxa"/>
            <w:bottom w:w="0" w:type="dxa"/>
            <w:right w:w="108" w:type="dxa"/>
          </w:tblCellMar>
        </w:tblPrEx>
        <w:trPr>
          <w:trHeight w:val="505" w:hRule="atLeast"/>
          <w:jc w:val="center"/>
        </w:trPr>
        <w:tc>
          <w:tcPr>
            <w:tcW w:w="8763" w:type="dxa"/>
            <w:gridSpan w:val="3"/>
            <w:tcBorders>
              <w:top w:val="single" w:color="auto" w:sz="4" w:space="0"/>
              <w:left w:val="single" w:color="auto" w:sz="4" w:space="0"/>
              <w:bottom w:val="single" w:color="auto" w:sz="4" w:space="0"/>
              <w:right w:val="single" w:color="auto" w:sz="4" w:space="0"/>
            </w:tcBorders>
            <w:vAlign w:val="center"/>
          </w:tcPr>
          <w:p>
            <w:pPr>
              <w:widowControl/>
              <w:snapToGrid w:val="0"/>
              <w:spacing w:line="240" w:lineRule="auto"/>
              <w:ind w:firstLine="0" w:firstLineChars="0"/>
              <w:jc w:val="center"/>
              <w:rPr>
                <w:rFonts w:eastAsia="仿宋_GB2312"/>
                <w:b/>
                <w:bCs/>
                <w:color w:val="000000"/>
                <w:kern w:val="0"/>
                <w:sz w:val="21"/>
                <w:szCs w:val="21"/>
              </w:rPr>
            </w:pPr>
            <w:r>
              <w:rPr>
                <w:rFonts w:eastAsia="仿宋_GB2312"/>
                <w:b/>
                <w:bCs/>
                <w:color w:val="000000"/>
                <w:kern w:val="0"/>
                <w:sz w:val="21"/>
                <w:szCs w:val="21"/>
              </w:rPr>
              <w:t>污染物产生量（吨/年）</w:t>
            </w:r>
          </w:p>
        </w:tc>
      </w:tr>
      <w:tr>
        <w:tblPrEx>
          <w:tblLayout w:type="fixed"/>
          <w:tblCellMar>
            <w:top w:w="0" w:type="dxa"/>
            <w:left w:w="108" w:type="dxa"/>
            <w:bottom w:w="0" w:type="dxa"/>
            <w:right w:w="108" w:type="dxa"/>
          </w:tblCellMar>
        </w:tblPrEx>
        <w:trPr>
          <w:trHeight w:val="505" w:hRule="atLeast"/>
          <w:jc w:val="center"/>
        </w:trPr>
        <w:tc>
          <w:tcPr>
            <w:tcW w:w="3278" w:type="dxa"/>
            <w:tcBorders>
              <w:top w:val="nil"/>
              <w:left w:val="single" w:color="auto" w:sz="4" w:space="0"/>
              <w:bottom w:val="single" w:color="auto" w:sz="4" w:space="0"/>
              <w:right w:val="single" w:color="auto" w:sz="4" w:space="0"/>
            </w:tcBorders>
            <w:vAlign w:val="center"/>
          </w:tcPr>
          <w:p>
            <w:pPr>
              <w:widowControl/>
              <w:snapToGrid w:val="0"/>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COD</w:t>
            </w:r>
          </w:p>
        </w:tc>
        <w:tc>
          <w:tcPr>
            <w:tcW w:w="2818" w:type="dxa"/>
            <w:tcBorders>
              <w:top w:val="nil"/>
              <w:left w:val="nil"/>
              <w:bottom w:val="single" w:color="auto" w:sz="4" w:space="0"/>
              <w:right w:val="single" w:color="auto" w:sz="4" w:space="0"/>
            </w:tcBorders>
            <w:vAlign w:val="center"/>
          </w:tcPr>
          <w:p>
            <w:pPr>
              <w:widowControl/>
              <w:snapToGrid w:val="0"/>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氨氮</w:t>
            </w:r>
          </w:p>
        </w:tc>
        <w:tc>
          <w:tcPr>
            <w:tcW w:w="2667" w:type="dxa"/>
            <w:tcBorders>
              <w:top w:val="nil"/>
              <w:left w:val="nil"/>
              <w:bottom w:val="single" w:color="auto" w:sz="4" w:space="0"/>
              <w:right w:val="single" w:color="auto" w:sz="4" w:space="0"/>
            </w:tcBorders>
            <w:vAlign w:val="center"/>
          </w:tcPr>
          <w:p>
            <w:pPr>
              <w:widowControl/>
              <w:snapToGrid w:val="0"/>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总磷</w:t>
            </w:r>
          </w:p>
        </w:tc>
      </w:tr>
      <w:tr>
        <w:tblPrEx>
          <w:tblLayout w:type="fixed"/>
          <w:tblCellMar>
            <w:top w:w="0" w:type="dxa"/>
            <w:left w:w="108" w:type="dxa"/>
            <w:bottom w:w="0" w:type="dxa"/>
            <w:right w:w="108" w:type="dxa"/>
          </w:tblCellMar>
        </w:tblPrEx>
        <w:trPr>
          <w:trHeight w:val="505" w:hRule="atLeast"/>
          <w:jc w:val="center"/>
        </w:trPr>
        <w:tc>
          <w:tcPr>
            <w:tcW w:w="3278" w:type="dxa"/>
            <w:tcBorders>
              <w:top w:val="nil"/>
              <w:left w:val="single" w:color="auto" w:sz="4" w:space="0"/>
              <w:bottom w:val="single" w:color="auto" w:sz="4" w:space="0"/>
              <w:right w:val="single" w:color="auto" w:sz="4" w:space="0"/>
            </w:tcBorders>
            <w:vAlign w:val="center"/>
          </w:tcPr>
          <w:p>
            <w:pPr>
              <w:widowControl/>
              <w:snapToGrid w:val="0"/>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140.1</w:t>
            </w:r>
          </w:p>
        </w:tc>
        <w:tc>
          <w:tcPr>
            <w:tcW w:w="2818" w:type="dxa"/>
            <w:tcBorders>
              <w:top w:val="nil"/>
              <w:left w:val="nil"/>
              <w:bottom w:val="single" w:color="auto" w:sz="4" w:space="0"/>
              <w:right w:val="single" w:color="auto" w:sz="4" w:space="0"/>
            </w:tcBorders>
            <w:vAlign w:val="center"/>
          </w:tcPr>
          <w:p>
            <w:pPr>
              <w:widowControl/>
              <w:snapToGrid w:val="0"/>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16.8</w:t>
            </w:r>
          </w:p>
        </w:tc>
        <w:tc>
          <w:tcPr>
            <w:tcW w:w="2667" w:type="dxa"/>
            <w:tcBorders>
              <w:top w:val="nil"/>
              <w:left w:val="nil"/>
              <w:bottom w:val="single" w:color="auto" w:sz="4" w:space="0"/>
              <w:right w:val="single" w:color="auto" w:sz="4" w:space="0"/>
            </w:tcBorders>
            <w:vAlign w:val="center"/>
          </w:tcPr>
          <w:p>
            <w:pPr>
              <w:widowControl/>
              <w:snapToGrid w:val="0"/>
              <w:spacing w:line="240" w:lineRule="auto"/>
              <w:ind w:firstLine="0" w:firstLineChars="0"/>
              <w:jc w:val="center"/>
              <w:rPr>
                <w:rFonts w:eastAsia="仿宋_GB2312"/>
                <w:bCs/>
                <w:color w:val="000000"/>
                <w:kern w:val="0"/>
                <w:sz w:val="21"/>
                <w:szCs w:val="21"/>
              </w:rPr>
            </w:pPr>
            <w:r>
              <w:rPr>
                <w:rFonts w:eastAsia="仿宋_GB2312"/>
                <w:bCs/>
                <w:color w:val="000000"/>
                <w:kern w:val="0"/>
                <w:sz w:val="21"/>
                <w:szCs w:val="21"/>
              </w:rPr>
              <w:t>5.7</w:t>
            </w:r>
          </w:p>
        </w:tc>
      </w:tr>
    </w:tbl>
    <w:p>
      <w:pPr>
        <w:pStyle w:val="3"/>
        <w:spacing w:before="97" w:beforeLines="30"/>
        <w:ind w:left="641" w:firstLine="0" w:firstLineChars="0"/>
        <w:rPr>
          <w:rFonts w:eastAsia="楷体_GB2312"/>
        </w:rPr>
      </w:pPr>
      <w:bookmarkStart w:id="352" w:name="_Toc460596345"/>
      <w:bookmarkStart w:id="353" w:name="_Toc28992"/>
      <w:bookmarkStart w:id="354" w:name="_Toc27905"/>
      <w:bookmarkStart w:id="355" w:name="_Toc19590"/>
      <w:bookmarkStart w:id="356" w:name="_Toc23784084"/>
      <w:bookmarkStart w:id="357" w:name="_Toc15018"/>
      <w:r>
        <w:rPr>
          <w:rFonts w:eastAsia="楷体_GB2312"/>
        </w:rPr>
        <w:t>4.4主要污染物排放量</w:t>
      </w:r>
      <w:bookmarkEnd w:id="352"/>
      <w:bookmarkEnd w:id="353"/>
      <w:bookmarkEnd w:id="354"/>
      <w:bookmarkEnd w:id="355"/>
      <w:bookmarkEnd w:id="356"/>
      <w:bookmarkEnd w:id="357"/>
    </w:p>
    <w:p>
      <w:pPr>
        <w:spacing w:line="584" w:lineRule="exact"/>
        <w:ind w:firstLine="640"/>
        <w:rPr>
          <w:rFonts w:eastAsia="仿宋_GB2312"/>
          <w:sz w:val="32"/>
          <w:szCs w:val="32"/>
        </w:rPr>
      </w:pPr>
      <w:r>
        <w:rPr>
          <w:rFonts w:eastAsia="仿宋_GB2312"/>
          <w:sz w:val="32"/>
          <w:szCs w:val="32"/>
        </w:rPr>
        <w:t>通过计算工业、生活、农业三种类型的主要污染物排放量，在潮白河流域范围内，生活污染是主要问题，其中城镇生活污染贡献最大，占80%以上，而三河市燕郊地区该问题最为突出。具体如下表所示：</w:t>
      </w:r>
    </w:p>
    <w:p>
      <w:pPr>
        <w:spacing w:before="163" w:beforeLines="50" w:after="163" w:afterLines="50" w:line="584" w:lineRule="exact"/>
        <w:ind w:firstLine="0" w:firstLineChars="0"/>
        <w:jc w:val="center"/>
        <w:rPr>
          <w:rFonts w:ascii="黑体" w:hAnsi="黑体" w:eastAsia="黑体"/>
          <w:sz w:val="32"/>
          <w:szCs w:val="32"/>
        </w:rPr>
      </w:pPr>
      <w:r>
        <w:rPr>
          <w:rFonts w:ascii="黑体" w:hAnsi="黑体" w:eastAsia="黑体"/>
          <w:sz w:val="32"/>
          <w:szCs w:val="32"/>
        </w:rPr>
        <w:t>表4</w:t>
      </w:r>
      <w:r>
        <w:rPr>
          <w:rFonts w:hint="eastAsia" w:eastAsia="黑体"/>
          <w:sz w:val="32"/>
          <w:szCs w:val="32"/>
        </w:rPr>
        <w:t>-</w:t>
      </w:r>
      <w:r>
        <w:rPr>
          <w:rFonts w:ascii="黑体" w:hAnsi="黑体" w:eastAsia="黑体"/>
          <w:sz w:val="32"/>
          <w:szCs w:val="32"/>
        </w:rPr>
        <w:t>14　潮白河流域主要污染物排放量</w:t>
      </w:r>
    </w:p>
    <w:tbl>
      <w:tblPr>
        <w:tblStyle w:val="13"/>
        <w:tblW w:w="87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27"/>
        <w:gridCol w:w="1267"/>
        <w:gridCol w:w="1269"/>
        <w:gridCol w:w="1268"/>
        <w:gridCol w:w="1269"/>
        <w:gridCol w:w="1267"/>
        <w:gridCol w:w="10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69" w:hRule="exact"/>
        </w:trPr>
        <w:tc>
          <w:tcPr>
            <w:tcW w:w="1427" w:type="dxa"/>
            <w:vMerge w:val="restart"/>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b/>
                <w:bCs/>
                <w:sz w:val="21"/>
                <w:szCs w:val="21"/>
              </w:rPr>
              <w:t>污染源类型</w:t>
            </w:r>
          </w:p>
        </w:tc>
        <w:tc>
          <w:tcPr>
            <w:tcW w:w="3804" w:type="dxa"/>
            <w:gridSpan w:val="3"/>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b/>
                <w:bCs/>
                <w:sz w:val="21"/>
                <w:szCs w:val="21"/>
              </w:rPr>
              <w:t>污染物排放量（吨/年）</w:t>
            </w:r>
          </w:p>
        </w:tc>
        <w:tc>
          <w:tcPr>
            <w:tcW w:w="3552" w:type="dxa"/>
            <w:gridSpan w:val="3"/>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b/>
                <w:bCs/>
                <w:sz w:val="21"/>
                <w:szCs w:val="21"/>
              </w:rPr>
              <w:t>污染物排放量比例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69" w:hRule="exact"/>
        </w:trPr>
        <w:tc>
          <w:tcPr>
            <w:tcW w:w="1427" w:type="dxa"/>
            <w:vMerge w:val="continue"/>
            <w:vAlign w:val="center"/>
          </w:tcPr>
          <w:p>
            <w:pPr>
              <w:spacing w:line="240" w:lineRule="auto"/>
              <w:ind w:firstLine="0" w:firstLineChars="0"/>
              <w:jc w:val="center"/>
              <w:rPr>
                <w:rFonts w:eastAsia="仿宋_GB2312"/>
                <w:sz w:val="21"/>
                <w:szCs w:val="21"/>
              </w:rPr>
            </w:pPr>
          </w:p>
        </w:tc>
        <w:tc>
          <w:tcPr>
            <w:tcW w:w="1267" w:type="dxa"/>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b/>
                <w:bCs/>
                <w:sz w:val="21"/>
                <w:szCs w:val="21"/>
              </w:rPr>
              <w:t>COD</w:t>
            </w:r>
          </w:p>
        </w:tc>
        <w:tc>
          <w:tcPr>
            <w:tcW w:w="1269" w:type="dxa"/>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b/>
                <w:bCs/>
                <w:sz w:val="21"/>
                <w:szCs w:val="21"/>
              </w:rPr>
              <w:t>氨氮</w:t>
            </w:r>
          </w:p>
        </w:tc>
        <w:tc>
          <w:tcPr>
            <w:tcW w:w="1268" w:type="dxa"/>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b/>
                <w:bCs/>
                <w:sz w:val="21"/>
                <w:szCs w:val="21"/>
              </w:rPr>
              <w:t>总磷</w:t>
            </w:r>
          </w:p>
        </w:tc>
        <w:tc>
          <w:tcPr>
            <w:tcW w:w="1269" w:type="dxa"/>
            <w:tcBorders>
              <w:bottom w:val="single" w:color="auto" w:sz="4" w:space="0"/>
            </w:tcBorders>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b/>
                <w:bCs/>
                <w:sz w:val="21"/>
                <w:szCs w:val="21"/>
              </w:rPr>
              <w:t>COD</w:t>
            </w:r>
          </w:p>
        </w:tc>
        <w:tc>
          <w:tcPr>
            <w:tcW w:w="1267" w:type="dxa"/>
            <w:tcBorders>
              <w:bottom w:val="single" w:color="auto" w:sz="4" w:space="0"/>
            </w:tcBorders>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b/>
                <w:bCs/>
                <w:sz w:val="21"/>
                <w:szCs w:val="21"/>
              </w:rPr>
              <w:t>氨氮</w:t>
            </w:r>
          </w:p>
        </w:tc>
        <w:tc>
          <w:tcPr>
            <w:tcW w:w="1016" w:type="dxa"/>
            <w:tcBorders>
              <w:bottom w:val="single" w:color="auto" w:sz="4" w:space="0"/>
            </w:tcBorders>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b/>
                <w:bCs/>
                <w:sz w:val="21"/>
                <w:szCs w:val="21"/>
              </w:rPr>
              <w:t>总磷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69" w:hRule="exact"/>
        </w:trPr>
        <w:tc>
          <w:tcPr>
            <w:tcW w:w="1427" w:type="dxa"/>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bCs/>
                <w:sz w:val="21"/>
                <w:szCs w:val="21"/>
              </w:rPr>
              <w:t>工业</w:t>
            </w:r>
          </w:p>
        </w:tc>
        <w:tc>
          <w:tcPr>
            <w:tcW w:w="1267" w:type="dxa"/>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sz w:val="21"/>
                <w:szCs w:val="21"/>
              </w:rPr>
              <w:t>676.1</w:t>
            </w:r>
          </w:p>
        </w:tc>
        <w:tc>
          <w:tcPr>
            <w:tcW w:w="1269" w:type="dxa"/>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sz w:val="21"/>
                <w:szCs w:val="21"/>
              </w:rPr>
              <w:t>91.6</w:t>
            </w:r>
          </w:p>
        </w:tc>
        <w:tc>
          <w:tcPr>
            <w:tcW w:w="1268" w:type="dxa"/>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sz w:val="21"/>
                <w:szCs w:val="21"/>
              </w:rPr>
              <w:t>0</w:t>
            </w:r>
          </w:p>
        </w:tc>
        <w:tc>
          <w:tcPr>
            <w:tcW w:w="1269"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sz w:val="21"/>
                <w:szCs w:val="21"/>
              </w:rPr>
              <w:t>13.0%</w:t>
            </w:r>
          </w:p>
        </w:tc>
        <w:tc>
          <w:tcPr>
            <w:tcW w:w="1267"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sz w:val="21"/>
                <w:szCs w:val="21"/>
              </w:rPr>
              <w:t>19.7%</w:t>
            </w:r>
          </w:p>
        </w:tc>
        <w:tc>
          <w:tcPr>
            <w:tcW w:w="1016"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sz w:val="21"/>
                <w:szCs w:val="21"/>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69" w:hRule="exact"/>
        </w:trPr>
        <w:tc>
          <w:tcPr>
            <w:tcW w:w="1427" w:type="dxa"/>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bCs/>
                <w:sz w:val="21"/>
                <w:szCs w:val="21"/>
              </w:rPr>
              <w:t>城镇生活</w:t>
            </w:r>
          </w:p>
        </w:tc>
        <w:tc>
          <w:tcPr>
            <w:tcW w:w="1267" w:type="dxa"/>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sz w:val="21"/>
                <w:szCs w:val="21"/>
              </w:rPr>
              <w:t>4383</w:t>
            </w:r>
          </w:p>
        </w:tc>
        <w:tc>
          <w:tcPr>
            <w:tcW w:w="1269" w:type="dxa"/>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sz w:val="21"/>
                <w:szCs w:val="21"/>
              </w:rPr>
              <w:t>357</w:t>
            </w:r>
          </w:p>
        </w:tc>
        <w:tc>
          <w:tcPr>
            <w:tcW w:w="1268" w:type="dxa"/>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sz w:val="21"/>
                <w:szCs w:val="21"/>
              </w:rPr>
              <w:t>119</w:t>
            </w:r>
          </w:p>
        </w:tc>
        <w:tc>
          <w:tcPr>
            <w:tcW w:w="1269"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sz w:val="21"/>
                <w:szCs w:val="21"/>
              </w:rPr>
              <w:t>84.3%</w:t>
            </w:r>
          </w:p>
        </w:tc>
        <w:tc>
          <w:tcPr>
            <w:tcW w:w="1267"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sz w:val="21"/>
                <w:szCs w:val="21"/>
              </w:rPr>
              <w:t>76.7%</w:t>
            </w:r>
          </w:p>
        </w:tc>
        <w:tc>
          <w:tcPr>
            <w:tcW w:w="1016"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sz w:val="21"/>
                <w:szCs w:val="21"/>
              </w:rPr>
              <w:t>95.4%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69" w:hRule="exact"/>
        </w:trPr>
        <w:tc>
          <w:tcPr>
            <w:tcW w:w="1427" w:type="dxa"/>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bCs/>
                <w:sz w:val="21"/>
                <w:szCs w:val="21"/>
              </w:rPr>
              <w:t>农业</w:t>
            </w:r>
          </w:p>
        </w:tc>
        <w:tc>
          <w:tcPr>
            <w:tcW w:w="1267" w:type="dxa"/>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sz w:val="21"/>
                <w:szCs w:val="21"/>
              </w:rPr>
              <w:t>140.1</w:t>
            </w:r>
          </w:p>
        </w:tc>
        <w:tc>
          <w:tcPr>
            <w:tcW w:w="1269" w:type="dxa"/>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sz w:val="21"/>
                <w:szCs w:val="21"/>
              </w:rPr>
              <w:t>16.8</w:t>
            </w:r>
          </w:p>
        </w:tc>
        <w:tc>
          <w:tcPr>
            <w:tcW w:w="1268" w:type="dxa"/>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sz w:val="21"/>
                <w:szCs w:val="21"/>
              </w:rPr>
              <w:t>5.7</w:t>
            </w:r>
          </w:p>
        </w:tc>
        <w:tc>
          <w:tcPr>
            <w:tcW w:w="1269"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sz w:val="21"/>
                <w:szCs w:val="21"/>
              </w:rPr>
              <w:t>2.7%</w:t>
            </w:r>
          </w:p>
        </w:tc>
        <w:tc>
          <w:tcPr>
            <w:tcW w:w="1267"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sz w:val="21"/>
                <w:szCs w:val="21"/>
              </w:rPr>
              <w:t>3.6%</w:t>
            </w:r>
          </w:p>
        </w:tc>
        <w:tc>
          <w:tcPr>
            <w:tcW w:w="1016"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pPr>
              <w:snapToGrid w:val="0"/>
              <w:spacing w:line="240" w:lineRule="auto"/>
              <w:ind w:firstLine="0" w:firstLineChars="0"/>
              <w:jc w:val="center"/>
              <w:rPr>
                <w:rFonts w:eastAsia="仿宋_GB2312"/>
                <w:sz w:val="21"/>
                <w:szCs w:val="21"/>
              </w:rPr>
            </w:pPr>
            <w:r>
              <w:rPr>
                <w:rFonts w:eastAsia="仿宋_GB2312"/>
                <w:sz w:val="21"/>
                <w:szCs w:val="21"/>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69" w:hRule="exact"/>
        </w:trPr>
        <w:tc>
          <w:tcPr>
            <w:tcW w:w="1427" w:type="dxa"/>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b/>
                <w:bCs/>
                <w:sz w:val="21"/>
                <w:szCs w:val="21"/>
              </w:rPr>
              <w:t>合计</w:t>
            </w:r>
          </w:p>
        </w:tc>
        <w:tc>
          <w:tcPr>
            <w:tcW w:w="1267" w:type="dxa"/>
            <w:tcMar>
              <w:top w:w="15" w:type="dxa"/>
              <w:left w:w="15" w:type="dxa"/>
              <w:bottom w:w="0" w:type="dxa"/>
              <w:right w:w="15" w:type="dxa"/>
            </w:tcMar>
            <w:vAlign w:val="top"/>
          </w:tcPr>
          <w:p>
            <w:pPr>
              <w:spacing w:line="240" w:lineRule="auto"/>
              <w:ind w:firstLine="0" w:firstLineChars="0"/>
              <w:jc w:val="center"/>
              <w:rPr>
                <w:rFonts w:eastAsia="仿宋_GB2312"/>
                <w:sz w:val="21"/>
                <w:szCs w:val="21"/>
              </w:rPr>
            </w:pPr>
            <w:r>
              <w:rPr>
                <w:rFonts w:eastAsia="仿宋_GB2312"/>
                <w:sz w:val="21"/>
                <w:szCs w:val="21"/>
              </w:rPr>
              <w:t>5199.2</w:t>
            </w:r>
          </w:p>
        </w:tc>
        <w:tc>
          <w:tcPr>
            <w:tcW w:w="1269" w:type="dxa"/>
            <w:tcMar>
              <w:top w:w="15" w:type="dxa"/>
              <w:left w:w="15" w:type="dxa"/>
              <w:bottom w:w="0" w:type="dxa"/>
              <w:right w:w="15" w:type="dxa"/>
            </w:tcMar>
            <w:vAlign w:val="top"/>
          </w:tcPr>
          <w:p>
            <w:pPr>
              <w:spacing w:line="240" w:lineRule="auto"/>
              <w:ind w:firstLine="0" w:firstLineChars="0"/>
              <w:jc w:val="center"/>
              <w:rPr>
                <w:rFonts w:eastAsia="仿宋_GB2312"/>
                <w:sz w:val="21"/>
                <w:szCs w:val="21"/>
              </w:rPr>
            </w:pPr>
            <w:r>
              <w:rPr>
                <w:rFonts w:eastAsia="仿宋_GB2312"/>
                <w:sz w:val="21"/>
                <w:szCs w:val="21"/>
              </w:rPr>
              <w:t>465.4</w:t>
            </w:r>
          </w:p>
        </w:tc>
        <w:tc>
          <w:tcPr>
            <w:tcW w:w="1268" w:type="dxa"/>
            <w:tcMar>
              <w:top w:w="15" w:type="dxa"/>
              <w:left w:w="15" w:type="dxa"/>
              <w:bottom w:w="0" w:type="dxa"/>
              <w:right w:w="15" w:type="dxa"/>
            </w:tcMar>
            <w:vAlign w:val="top"/>
          </w:tcPr>
          <w:p>
            <w:pPr>
              <w:spacing w:line="240" w:lineRule="auto"/>
              <w:ind w:firstLine="0" w:firstLineChars="0"/>
              <w:jc w:val="center"/>
              <w:rPr>
                <w:rFonts w:eastAsia="仿宋_GB2312"/>
                <w:sz w:val="21"/>
                <w:szCs w:val="21"/>
              </w:rPr>
            </w:pPr>
            <w:r>
              <w:rPr>
                <w:rFonts w:eastAsia="仿宋_GB2312"/>
                <w:sz w:val="21"/>
                <w:szCs w:val="21"/>
              </w:rPr>
              <w:t>124.7</w:t>
            </w:r>
          </w:p>
        </w:tc>
        <w:tc>
          <w:tcPr>
            <w:tcW w:w="1269" w:type="dxa"/>
            <w:tcBorders>
              <w:top w:val="single" w:color="auto" w:sz="4" w:space="0"/>
            </w:tcBorders>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sz w:val="21"/>
                <w:szCs w:val="21"/>
              </w:rPr>
              <w:t>100.00%</w:t>
            </w:r>
          </w:p>
        </w:tc>
        <w:tc>
          <w:tcPr>
            <w:tcW w:w="1267" w:type="dxa"/>
            <w:tcBorders>
              <w:top w:val="single" w:color="auto" w:sz="4" w:space="0"/>
            </w:tcBorders>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sz w:val="21"/>
                <w:szCs w:val="21"/>
              </w:rPr>
              <w:t>100.00%</w:t>
            </w:r>
          </w:p>
        </w:tc>
        <w:tc>
          <w:tcPr>
            <w:tcW w:w="1016" w:type="dxa"/>
            <w:tcBorders>
              <w:top w:val="single" w:color="auto" w:sz="4" w:space="0"/>
            </w:tcBorders>
            <w:tcMar>
              <w:top w:w="15" w:type="dxa"/>
              <w:left w:w="15" w:type="dxa"/>
              <w:bottom w:w="0" w:type="dxa"/>
              <w:right w:w="15" w:type="dxa"/>
            </w:tcMar>
            <w:vAlign w:val="center"/>
          </w:tcPr>
          <w:p>
            <w:pPr>
              <w:spacing w:line="240" w:lineRule="auto"/>
              <w:ind w:firstLine="0" w:firstLineChars="0"/>
              <w:jc w:val="center"/>
              <w:rPr>
                <w:rFonts w:eastAsia="仿宋_GB2312"/>
                <w:sz w:val="21"/>
                <w:szCs w:val="21"/>
              </w:rPr>
            </w:pPr>
            <w:r>
              <w:rPr>
                <w:rFonts w:eastAsia="仿宋_GB2312"/>
                <w:sz w:val="21"/>
                <w:szCs w:val="21"/>
              </w:rPr>
              <w:t>100.00%</w:t>
            </w:r>
          </w:p>
        </w:tc>
      </w:tr>
    </w:tbl>
    <w:p>
      <w:pPr>
        <w:pStyle w:val="2"/>
        <w:spacing w:before="163" w:beforeLines="50" w:line="576" w:lineRule="exact"/>
        <w:ind w:left="641" w:firstLine="0" w:firstLineChars="0"/>
      </w:pPr>
      <w:bookmarkStart w:id="358" w:name="_Toc23784085"/>
      <w:r>
        <w:t>五、原达标方案实施情况评估</w:t>
      </w:r>
      <w:bookmarkEnd w:id="358"/>
    </w:p>
    <w:p>
      <w:pPr>
        <w:pStyle w:val="3"/>
        <w:spacing w:line="576" w:lineRule="exact"/>
        <w:ind w:left="643" w:firstLine="0" w:firstLineChars="0"/>
        <w:rPr>
          <w:rFonts w:eastAsia="楷体_GB2312"/>
        </w:rPr>
      </w:pPr>
      <w:bookmarkStart w:id="359" w:name="_Toc23784086"/>
      <w:r>
        <w:rPr>
          <w:rFonts w:eastAsia="楷体_GB2312"/>
        </w:rPr>
        <w:t>5.1总体情况</w:t>
      </w:r>
      <w:bookmarkEnd w:id="359"/>
    </w:p>
    <w:p>
      <w:pPr>
        <w:autoSpaceDN w:val="0"/>
        <w:snapToGrid w:val="0"/>
        <w:spacing w:line="576" w:lineRule="exact"/>
        <w:ind w:firstLine="640"/>
        <w:rPr>
          <w:rFonts w:eastAsia="仿宋_GB2312"/>
          <w:color w:val="000000"/>
          <w:sz w:val="32"/>
          <w:szCs w:val="32"/>
        </w:rPr>
      </w:pPr>
      <w:r>
        <w:rPr>
          <w:rFonts w:eastAsia="仿宋_GB2312"/>
          <w:color w:val="000000"/>
          <w:sz w:val="32"/>
          <w:szCs w:val="32"/>
        </w:rPr>
        <w:t>《水污染防治行动计划》要求未达到水质目标要求的地区要制定达标方案，由于</w:t>
      </w:r>
      <w:r>
        <w:rPr>
          <w:rFonts w:eastAsia="仿宋"/>
          <w:color w:val="000000"/>
          <w:sz w:val="32"/>
          <w:szCs w:val="32"/>
        </w:rPr>
        <w:t>潮白</w:t>
      </w:r>
      <w:r>
        <w:rPr>
          <w:rFonts w:eastAsia="仿宋_GB2312"/>
          <w:color w:val="000000"/>
          <w:sz w:val="32"/>
          <w:szCs w:val="32"/>
        </w:rPr>
        <w:t>河吴村、大套桥断面未达到国家考核目标，为了改善</w:t>
      </w:r>
      <w:r>
        <w:rPr>
          <w:rFonts w:eastAsia="仿宋"/>
          <w:color w:val="000000"/>
          <w:sz w:val="32"/>
          <w:szCs w:val="32"/>
        </w:rPr>
        <w:t>潮白河</w:t>
      </w:r>
      <w:r>
        <w:rPr>
          <w:rFonts w:eastAsia="仿宋_GB2312"/>
          <w:color w:val="000000"/>
          <w:sz w:val="32"/>
          <w:szCs w:val="32"/>
        </w:rPr>
        <w:t>水质，廊坊市政府印发实施了《廊坊市</w:t>
      </w:r>
      <w:r>
        <w:rPr>
          <w:rFonts w:eastAsia="仿宋"/>
          <w:color w:val="000000"/>
          <w:sz w:val="32"/>
          <w:szCs w:val="32"/>
        </w:rPr>
        <w:t>潮白河</w:t>
      </w:r>
      <w:r>
        <w:rPr>
          <w:rFonts w:eastAsia="仿宋_GB2312"/>
          <w:color w:val="000000"/>
          <w:sz w:val="32"/>
          <w:szCs w:val="32"/>
        </w:rPr>
        <w:t>水质达标方案》（以下简称“原达标方案”）。原达标方案以2015年为基准年，在吴村、大套桥断面为劣V类、超标指标为氨氮、总磷的现状条件下，提出了“治、用、疏、保、管”的思路，制定了强化污染源头治理、加强水资源的循环利用、对主要排干渠进行清淤疏浚、构建湿地系统和沿河生态带、强化水环境管理的措施，已达到水质达标的目标。原达标方案共提出了40项重点治理工程，包含流域污染源治理19项、流域生态修复与保护15项、环境监管能力建设6项。</w:t>
      </w:r>
    </w:p>
    <w:p>
      <w:pPr>
        <w:autoSpaceDN w:val="0"/>
        <w:snapToGrid w:val="0"/>
        <w:spacing w:line="576" w:lineRule="exact"/>
        <w:ind w:firstLine="640"/>
        <w:rPr>
          <w:rFonts w:eastAsia="仿宋_GB2312"/>
          <w:color w:val="000000"/>
          <w:sz w:val="32"/>
          <w:szCs w:val="32"/>
        </w:rPr>
      </w:pPr>
      <w:r>
        <w:rPr>
          <w:rFonts w:eastAsia="仿宋_GB2312"/>
          <w:color w:val="000000"/>
          <w:sz w:val="32"/>
          <w:szCs w:val="32"/>
        </w:rPr>
        <w:t>通过原达标方案的实施，吴村、大套桥断面水质改善明显。吴村断面2018年年均水质类别为</w:t>
      </w:r>
      <w:r>
        <w:rPr>
          <w:color w:val="000000"/>
          <w:sz w:val="32"/>
          <w:szCs w:val="32"/>
        </w:rPr>
        <w:t>Ⅴ</w:t>
      </w:r>
      <w:r>
        <w:rPr>
          <w:rFonts w:eastAsia="仿宋_GB2312"/>
          <w:color w:val="000000"/>
          <w:sz w:val="32"/>
          <w:szCs w:val="32"/>
        </w:rPr>
        <w:t>类，已达到考核目标要求；大套桥断面虽然年均水质类别劣</w:t>
      </w:r>
      <w:r>
        <w:rPr>
          <w:color w:val="000000"/>
          <w:sz w:val="32"/>
          <w:szCs w:val="32"/>
        </w:rPr>
        <w:t>Ⅴ</w:t>
      </w:r>
      <w:r>
        <w:rPr>
          <w:rFonts w:eastAsia="仿宋_GB2312"/>
          <w:color w:val="000000"/>
          <w:sz w:val="32"/>
          <w:szCs w:val="32"/>
        </w:rPr>
        <w:t>类，但主要超标因子氨氮和总磷变为化学需氧量，2018年较2016年氨氮、总磷浓度分别下降83.1%、71.8%，大套桥断面达标率上升为41.7%。主要污染源得到有效处理，COD和氨氮排放量大幅削减。</w:t>
      </w:r>
    </w:p>
    <w:p>
      <w:pPr>
        <w:autoSpaceDN w:val="0"/>
        <w:snapToGrid w:val="0"/>
        <w:spacing w:line="576" w:lineRule="exact"/>
        <w:ind w:firstLine="640"/>
        <w:rPr>
          <w:rFonts w:eastAsia="仿宋_GB2312"/>
          <w:color w:val="000000"/>
          <w:sz w:val="32"/>
          <w:szCs w:val="32"/>
        </w:rPr>
      </w:pPr>
      <w:r>
        <w:rPr>
          <w:rFonts w:eastAsia="仿宋_GB2312"/>
          <w:color w:val="000000"/>
          <w:sz w:val="32"/>
          <w:szCs w:val="32"/>
        </w:rPr>
        <w:t>通过原达标方案的实施，</w:t>
      </w:r>
      <w:r>
        <w:rPr>
          <w:rFonts w:eastAsia="仿宋"/>
          <w:color w:val="000000"/>
          <w:sz w:val="32"/>
          <w:szCs w:val="32"/>
        </w:rPr>
        <w:t>潮白河</w:t>
      </w:r>
      <w:r>
        <w:rPr>
          <w:rFonts w:eastAsia="仿宋_GB2312"/>
          <w:color w:val="000000"/>
          <w:sz w:val="32"/>
          <w:szCs w:val="32"/>
        </w:rPr>
        <w:t>流域治污能力得到了很大的提升，已完成22项重点工程，18项工程未完成，由于现状等条件的改变，8项未完成的工程已不具备实施的必要性，7项未完成的工程拟调整实施内容。</w:t>
      </w:r>
    </w:p>
    <w:p>
      <w:pPr>
        <w:autoSpaceDN w:val="0"/>
        <w:snapToGrid w:val="0"/>
        <w:spacing w:line="576" w:lineRule="exact"/>
        <w:ind w:firstLine="640"/>
      </w:pPr>
      <w:r>
        <w:rPr>
          <w:rFonts w:eastAsia="仿宋_GB2312"/>
          <w:color w:val="000000"/>
          <w:sz w:val="32"/>
          <w:szCs w:val="32"/>
        </w:rPr>
        <w:t>通过原达标方案实施情况的评估和</w:t>
      </w:r>
      <w:r>
        <w:rPr>
          <w:rFonts w:eastAsia="仿宋"/>
          <w:color w:val="000000"/>
          <w:sz w:val="32"/>
          <w:szCs w:val="32"/>
        </w:rPr>
        <w:t>潮白河</w:t>
      </w:r>
      <w:r>
        <w:rPr>
          <w:rFonts w:eastAsia="仿宋_GB2312"/>
          <w:color w:val="000000"/>
          <w:sz w:val="32"/>
          <w:szCs w:val="32"/>
        </w:rPr>
        <w:t>流域实际情况的分析，流域现状条件发生巨大变化，原有的部分水环境问题已基本得到解决，新的水环境问题成为当前的重点，水质改善的重点任务和方向发生转移。</w:t>
      </w:r>
    </w:p>
    <w:p>
      <w:pPr>
        <w:pStyle w:val="3"/>
        <w:spacing w:line="576" w:lineRule="exact"/>
        <w:ind w:left="643" w:firstLine="0" w:firstLineChars="0"/>
        <w:rPr>
          <w:rFonts w:eastAsia="楷体_GB2312"/>
        </w:rPr>
      </w:pPr>
      <w:bookmarkStart w:id="360" w:name="_Toc23784087"/>
      <w:r>
        <w:rPr>
          <w:rFonts w:eastAsia="楷体_GB2312"/>
        </w:rPr>
        <w:t>5.2水质改善情况评估</w:t>
      </w:r>
      <w:bookmarkEnd w:id="360"/>
    </w:p>
    <w:p>
      <w:pPr>
        <w:pStyle w:val="4"/>
        <w:spacing w:line="576" w:lineRule="exact"/>
        <w:ind w:firstLine="643"/>
      </w:pPr>
      <w:bookmarkStart w:id="361" w:name="_Toc23784088"/>
      <w:r>
        <w:t>5.2.1达标方案实施前水质状况</w:t>
      </w:r>
      <w:bookmarkEnd w:id="361"/>
    </w:p>
    <w:p>
      <w:r>
        <w:rPr>
          <w:rFonts w:eastAsia="仿宋_GB2312"/>
          <w:sz w:val="32"/>
          <w:szCs w:val="32"/>
        </w:rPr>
        <w:t>根据国控断面监测数据，2014</w:t>
      </w:r>
      <w:r>
        <w:rPr>
          <w:rFonts w:hint="eastAsia" w:eastAsia="仿宋_GB2312"/>
          <w:sz w:val="32"/>
          <w:szCs w:val="32"/>
        </w:rPr>
        <w:t>—</w:t>
      </w:r>
      <w:r>
        <w:rPr>
          <w:rFonts w:eastAsia="仿宋_GB2312"/>
          <w:sz w:val="32"/>
          <w:szCs w:val="32"/>
        </w:rPr>
        <w:t>2015年，潮白河总体水质状况较差，吴村、大套桥国控断面水体在全部监测月份均为劣</w:t>
      </w:r>
      <w:r>
        <w:rPr>
          <w:sz w:val="32"/>
          <w:szCs w:val="32"/>
        </w:rPr>
        <w:t>Ⅴ</w:t>
      </w:r>
      <w:r>
        <w:rPr>
          <w:rFonts w:eastAsia="仿宋_GB2312"/>
          <w:sz w:val="32"/>
          <w:szCs w:val="32"/>
        </w:rPr>
        <w:t>类，主要超标指标为氨氮和总磷。部分月份出现高锰酸盐指数、</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A00002EF" w:usb1="4000004B" w:usb2="00000000" w:usb3="00000000" w:csb0="2000019F" w:csb1="00000000"/>
  </w:font>
  <w:font w:name="Calibri">
    <w:panose1 w:val="020F0502020204030204"/>
    <w:charset w:val="00"/>
    <w:family w:val="swiss"/>
    <w:pitch w:val="default"/>
    <w:sig w:usb0="E10002FF" w:usb1="4000ACFF" w:usb2="00000009" w:usb3="00000000" w:csb0="2000019F" w:csb1="00000000"/>
  </w:font>
  <w:font w:name="Arial">
    <w:panose1 w:val="020B0604020202020204"/>
    <w:charset w:val="00"/>
    <w:family w:val="swiss"/>
    <w:pitch w:val="default"/>
    <w:sig w:usb0="E0002AFF" w:usb1="C0007843" w:usb2="00000009" w:usb3="00000000" w:csb0="400001FF" w:csb1="FFFF0000"/>
  </w:font>
  <w:font w:name="仿宋_GB2312">
    <w:altName w:val="仿宋"/>
    <w:panose1 w:val="02010609030101010101"/>
    <w:charset w:val="86"/>
    <w:family w:val="modern"/>
    <w:pitch w:val="default"/>
    <w:sig w:usb0="00000000" w:usb1="00000000" w:usb2="00000010" w:usb3="00000000" w:csb0="00040000" w:csb1="00000000"/>
  </w:font>
  <w:font w:name="Calibri Light">
    <w:altName w:val="Calibri"/>
    <w:panose1 w:val="020F0302020204030204"/>
    <w:charset w:val="00"/>
    <w:family w:val="swiss"/>
    <w:pitch w:val="default"/>
    <w:sig w:usb0="00000000" w:usb1="00000000" w:usb2="00000000" w:usb3="00000000" w:csb0="0000019F" w:csb1="00000000"/>
  </w:font>
  <w:font w:name="仿宋">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微软雅黑">
    <w:panose1 w:val="020B0503020204020204"/>
    <w:charset w:val="86"/>
    <w:family w:val="swiss"/>
    <w:pitch w:val="default"/>
    <w:sig w:usb0="80000287" w:usb1="280F3C52" w:usb2="00000016" w:usb3="00000000" w:csb0="0004001F" w:csb1="00000000"/>
  </w:font>
  <w:font w:name="华文细黑">
    <w:altName w:val="微软雅黑"/>
    <w:panose1 w:val="02010600040101010101"/>
    <w:charset w:val="86"/>
    <w:family w:val="auto"/>
    <w:pitch w:val="default"/>
    <w:sig w:usb0="00000000" w:usb1="00000000" w:usb2="00000010" w:usb3="00000000" w:csb0="0004009F" w:csb1="00000000"/>
  </w:font>
  <w:font w:name="??">
    <w:altName w:val="Times New Roman"/>
    <w:panose1 w:val="00000000000000000000"/>
    <w:charset w:val="00"/>
    <w:family w:val="swiss"/>
    <w:pitch w:val="default"/>
    <w:sig w:usb0="00000000" w:usb1="00000000" w:usb2="00000000" w:usb3="00000000" w:csb0="00000001" w:csb1="00000000"/>
  </w:font>
  <w:font w:name="Chicago">
    <w:altName w:val="Arial"/>
    <w:panose1 w:val="00000000000000000000"/>
    <w:charset w:val="00"/>
    <w:family w:val="swiss"/>
    <w:pitch w:val="default"/>
    <w:sig w:usb0="00000000" w:usb1="00000000" w:usb2="00000000" w:usb3="00000000" w:csb0="00000001" w:csb1="00000000"/>
  </w:font>
  <w:font w:name="等线">
    <w:altName w:val="宋体"/>
    <w:panose1 w:val="02010600030101010101"/>
    <w:charset w:val="86"/>
    <w:family w:val="auto"/>
    <w:pitch w:val="default"/>
    <w:sig w:usb0="00000000" w:usb1="00000000" w:usb2="00000016" w:usb3="00000000" w:csb0="0004000F" w:csb1="00000000"/>
  </w:font>
  <w:font w:name="楷体_GB2312">
    <w:altName w:val="楷体"/>
    <w:panose1 w:val="02010609030101010101"/>
    <w:charset w:val="86"/>
    <w:family w:val="modern"/>
    <w:pitch w:val="default"/>
    <w:sig w:usb0="00000000" w:usb1="00000000" w:usb2="00000010" w:usb3="00000000" w:csb0="00040000" w:csb1="00000000"/>
  </w:font>
  <w:font w:name="宋体-方正超大字符集">
    <w:altName w:val="宋体"/>
    <w:panose1 w:val="03000509000000000000"/>
    <w:charset w:val="86"/>
    <w:family w:val="script"/>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华文楷体">
    <w:altName w:val="宋体"/>
    <w:panose1 w:val="02010600040101010101"/>
    <w:charset w:val="86"/>
    <w:family w:val="auto"/>
    <w:pitch w:val="default"/>
    <w:sig w:usb0="00000000" w:usb1="00000000" w:usb2="00000010" w:usb3="00000000" w:csb0="0004009F" w:csb1="00000000"/>
  </w:font>
  <w:font w:name="方正小标宋简体">
    <w:panose1 w:val="03000509000000000000"/>
    <w:charset w:val="86"/>
    <w:family w:val="auto"/>
    <w:pitch w:val="default"/>
    <w:sig w:usb0="00000001" w:usb1="080E0000" w:usb2="00000000" w:usb3="00000000" w:csb0="00040000" w:csb1="00000000"/>
  </w:font>
  <w:font w:name="方正仿宋_GBK">
    <w:altName w:val="微软雅黑"/>
    <w:panose1 w:val="03000509000000000000"/>
    <w:charset w:val="86"/>
    <w:family w:val="script"/>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560"/>
      <w:rPr>
        <w:rStyle w:val="10"/>
        <w:rFonts w:hint="eastAsia" w:ascii="宋体" w:hAnsi="宋体"/>
        <w:sz w:val="28"/>
        <w:szCs w:val="28"/>
      </w:rPr>
    </w:pP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39</w:t>
    </w:r>
    <w:r>
      <w:rPr>
        <w:rFonts w:ascii="宋体" w:hAnsi="宋体"/>
        <w:sz w:val="28"/>
        <w:szCs w:val="28"/>
      </w:rPr>
      <w:fldChar w:fldCharType="end"/>
    </w:r>
    <w:r>
      <w:rPr>
        <w:rStyle w:val="10"/>
        <w:rFonts w:hint="eastAsia" w:ascii="宋体" w:hAnsi="宋体"/>
        <w:sz w:val="28"/>
        <w:szCs w:val="28"/>
      </w:rPr>
      <w:t xml:space="preserve"> —</w:t>
    </w:r>
    <w:r>
      <w:rPr>
        <w:rStyle w:val="10"/>
        <w:rFonts w:hint="eastAsia" w:ascii="宋体" w:hAnsi="宋体"/>
        <w:color w:val="FFFFFF"/>
        <w:sz w:val="28"/>
        <w:szCs w:val="28"/>
      </w:rPr>
      <w:t>字</w:t>
    </w:r>
    <w:r>
      <w:rPr>
        <w:rStyle w:val="10"/>
        <w:rFonts w:hint="eastAsia" w:ascii="宋体" w:hAnsi="宋体"/>
        <w:sz w:val="28"/>
        <w:szCs w:val="28"/>
      </w:rPr>
      <w:t xml:space="preserve">　 </w:t>
    </w:r>
    <w:r>
      <w:rPr>
        <w:rStyle w:val="10"/>
        <w:rFonts w:hint="eastAsia" w:ascii="宋体" w:hAnsi="宋体"/>
        <w:color w:val="FFFFFF"/>
        <w:sz w:val="28"/>
        <w:szCs w:val="28"/>
      </w:rPr>
      <w:t>　</w:t>
    </w:r>
  </w:p>
  <w:p>
    <w:pPr>
      <w:pStyle w:val="6"/>
      <w:ind w:right="360" w:firstLine="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560"/>
      <w:rPr>
        <w:rStyle w:val="10"/>
        <w:rFonts w:hint="eastAsia" w:ascii="宋体" w:hAnsi="宋体"/>
        <w:sz w:val="28"/>
        <w:szCs w:val="28"/>
      </w:rPr>
    </w:pP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59</w:t>
    </w:r>
    <w:r>
      <w:rPr>
        <w:rFonts w:ascii="宋体" w:hAnsi="宋体"/>
        <w:sz w:val="28"/>
        <w:szCs w:val="28"/>
      </w:rPr>
      <w:fldChar w:fldCharType="end"/>
    </w:r>
    <w:r>
      <w:rPr>
        <w:rStyle w:val="10"/>
        <w:rFonts w:hint="eastAsia" w:ascii="宋体" w:hAnsi="宋体"/>
        <w:sz w:val="28"/>
        <w:szCs w:val="28"/>
      </w:rPr>
      <w:t xml:space="preserve"> —</w:t>
    </w:r>
    <w:r>
      <w:rPr>
        <w:rStyle w:val="10"/>
        <w:rFonts w:hint="eastAsia" w:ascii="宋体" w:hAnsi="宋体"/>
        <w:color w:val="FFFFFF"/>
        <w:sz w:val="28"/>
        <w:szCs w:val="28"/>
      </w:rPr>
      <w:t>字</w:t>
    </w:r>
    <w:r>
      <w:rPr>
        <w:rStyle w:val="10"/>
        <w:rFonts w:hint="eastAsia" w:ascii="宋体" w:hAnsi="宋体"/>
        <w:sz w:val="28"/>
        <w:szCs w:val="28"/>
      </w:rPr>
      <w:t xml:space="preserve">　 </w:t>
    </w:r>
    <w:r>
      <w:rPr>
        <w:rStyle w:val="10"/>
        <w:rFonts w:hint="eastAsia" w:ascii="宋体" w:hAnsi="宋体"/>
        <w:color w:val="FFFFFF"/>
        <w:sz w:val="28"/>
        <w:szCs w:val="28"/>
      </w:rPr>
      <w:t>　</w:t>
    </w:r>
  </w:p>
  <w:p>
    <w:pPr>
      <w:pStyle w:val="6"/>
      <w:ind w:right="360" w:firstLine="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字</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60</w:t>
    </w:r>
    <w:r>
      <w:rPr>
        <w:rFonts w:ascii="宋体" w:hAnsi="宋体"/>
        <w:sz w:val="28"/>
        <w:szCs w:val="28"/>
      </w:rPr>
      <w:fldChar w:fldCharType="end"/>
    </w:r>
    <w:r>
      <w:rPr>
        <w:rStyle w:val="10"/>
        <w:rFonts w:hint="eastAsia" w:ascii="宋体" w:hAnsi="宋体"/>
        <w:sz w:val="28"/>
        <w:szCs w:val="28"/>
      </w:rPr>
      <w:t xml:space="preserve"> —</w:t>
    </w:r>
  </w:p>
  <w:p>
    <w:pPr>
      <w:pStyle w:val="6"/>
      <w:ind w:right="360" w:firstLine="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字</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38</w:t>
    </w:r>
    <w:r>
      <w:rPr>
        <w:rFonts w:ascii="宋体" w:hAnsi="宋体"/>
        <w:sz w:val="28"/>
        <w:szCs w:val="28"/>
      </w:rPr>
      <w:fldChar w:fldCharType="end"/>
    </w:r>
    <w:r>
      <w:rPr>
        <w:rStyle w:val="10"/>
        <w:rFonts w:hint="eastAsia" w:ascii="宋体" w:hAnsi="宋体"/>
        <w:sz w:val="28"/>
        <w:szCs w:val="28"/>
      </w:rPr>
      <w:t xml:space="preserve"> —</w:t>
    </w:r>
  </w:p>
  <w:p>
    <w:pPr>
      <w:pStyle w:val="6"/>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560"/>
      <w:rPr>
        <w:rStyle w:val="10"/>
        <w:rFonts w:hint="eastAsia" w:ascii="宋体" w:hAnsi="宋体"/>
        <w:sz w:val="28"/>
        <w:szCs w:val="28"/>
      </w:rPr>
    </w:pP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43</w:t>
    </w:r>
    <w:r>
      <w:rPr>
        <w:rFonts w:ascii="宋体" w:hAnsi="宋体"/>
        <w:sz w:val="28"/>
        <w:szCs w:val="28"/>
      </w:rPr>
      <w:fldChar w:fldCharType="end"/>
    </w:r>
    <w:r>
      <w:rPr>
        <w:rStyle w:val="10"/>
        <w:rFonts w:hint="eastAsia" w:ascii="宋体" w:hAnsi="宋体"/>
        <w:sz w:val="28"/>
        <w:szCs w:val="28"/>
      </w:rPr>
      <w:t xml:space="preserve"> —</w:t>
    </w:r>
    <w:r>
      <w:rPr>
        <w:rStyle w:val="10"/>
        <w:rFonts w:hint="eastAsia" w:ascii="宋体" w:hAnsi="宋体"/>
        <w:color w:val="FFFFFF"/>
        <w:sz w:val="28"/>
        <w:szCs w:val="28"/>
      </w:rPr>
      <w:t>字</w:t>
    </w:r>
    <w:r>
      <w:rPr>
        <w:rStyle w:val="10"/>
        <w:rFonts w:hint="eastAsia" w:ascii="宋体" w:hAnsi="宋体"/>
        <w:sz w:val="28"/>
        <w:szCs w:val="28"/>
      </w:rPr>
      <w:t xml:space="preserve">　 </w:t>
    </w:r>
    <w:r>
      <w:rPr>
        <w:rStyle w:val="10"/>
        <w:rFonts w:hint="eastAsia" w:ascii="宋体" w:hAnsi="宋体"/>
        <w:color w:val="FFFFFF"/>
        <w:sz w:val="28"/>
        <w:szCs w:val="28"/>
      </w:rPr>
      <w:t>　</w:t>
    </w:r>
  </w:p>
  <w:p>
    <w:pPr>
      <w:pStyle w:val="6"/>
      <w:ind w:right="360"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字</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42</w:t>
    </w:r>
    <w:r>
      <w:rPr>
        <w:rFonts w:ascii="宋体" w:hAnsi="宋体"/>
        <w:sz w:val="28"/>
        <w:szCs w:val="28"/>
      </w:rPr>
      <w:fldChar w:fldCharType="end"/>
    </w:r>
    <w:r>
      <w:rPr>
        <w:rStyle w:val="10"/>
        <w:rFonts w:hint="eastAsia" w:ascii="宋体" w:hAnsi="宋体"/>
        <w:sz w:val="28"/>
        <w:szCs w:val="28"/>
      </w:rPr>
      <w:t xml:space="preserve"> —</w:t>
    </w:r>
  </w:p>
  <w:p>
    <w:pPr>
      <w:pStyle w:val="6"/>
      <w:ind w:right="360"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Chars="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480" w:firstLine="0" w:firstLineChars="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1A121D6"/>
    <w:multiLevelType w:val="multilevel"/>
    <w:tmpl w:val="61A121D6"/>
    <w:lvl w:ilvl="0" w:tentative="0">
      <w:start w:val="1"/>
      <w:numFmt w:val="lowerLetter"/>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ECA7B0F"/>
    <w:rsid w:val="2FC205B4"/>
    <w:rsid w:val="63D47B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Arial"/>
      <w:kern w:val="2"/>
      <w:sz w:val="24"/>
      <w:szCs w:val="22"/>
      <w:lang w:val="en-US" w:eastAsia="zh-CN" w:bidi="ar-SA"/>
    </w:rPr>
  </w:style>
  <w:style w:type="paragraph" w:styleId="2">
    <w:name w:val="heading 1"/>
    <w:basedOn w:val="1"/>
    <w:next w:val="1"/>
    <w:qFormat/>
    <w:uiPriority w:val="0"/>
    <w:pPr>
      <w:spacing w:line="584" w:lineRule="exact"/>
      <w:jc w:val="left"/>
      <w:outlineLvl w:val="0"/>
    </w:pPr>
    <w:rPr>
      <w:rFonts w:eastAsia="黑体" w:cs="Times New Roman"/>
      <w:bCs/>
      <w:kern w:val="44"/>
      <w:sz w:val="32"/>
      <w:szCs w:val="44"/>
    </w:rPr>
  </w:style>
  <w:style w:type="paragraph" w:styleId="3">
    <w:name w:val="heading 2"/>
    <w:basedOn w:val="1"/>
    <w:next w:val="1"/>
    <w:unhideWhenUsed/>
    <w:qFormat/>
    <w:uiPriority w:val="0"/>
    <w:pPr>
      <w:spacing w:line="584" w:lineRule="exact"/>
      <w:outlineLvl w:val="1"/>
    </w:pPr>
    <w:rPr>
      <w:rFonts w:eastAsia="仿宋_GB2312" w:cs="Times New Roman"/>
      <w:b/>
      <w:bCs/>
      <w:sz w:val="32"/>
      <w:szCs w:val="32"/>
    </w:rPr>
  </w:style>
  <w:style w:type="paragraph" w:styleId="4">
    <w:name w:val="heading 3"/>
    <w:basedOn w:val="1"/>
    <w:next w:val="1"/>
    <w:unhideWhenUsed/>
    <w:qFormat/>
    <w:uiPriority w:val="0"/>
    <w:pPr>
      <w:spacing w:line="584" w:lineRule="exact"/>
      <w:outlineLvl w:val="2"/>
    </w:pPr>
    <w:rPr>
      <w:rFonts w:eastAsia="仿宋_GB2312" w:cs="Times New Roman"/>
      <w:b/>
      <w:bCs/>
      <w:sz w:val="32"/>
      <w:szCs w:val="32"/>
    </w:rPr>
  </w:style>
  <w:style w:type="paragraph" w:styleId="5">
    <w:name w:val="heading 4"/>
    <w:basedOn w:val="1"/>
    <w:next w:val="1"/>
    <w:unhideWhenUsed/>
    <w:qFormat/>
    <w:uiPriority w:val="0"/>
    <w:pPr>
      <w:keepNext/>
      <w:keepLines/>
      <w:spacing w:before="100" w:after="100"/>
      <w:outlineLvl w:val="3"/>
    </w:pPr>
    <w:rPr>
      <w:rFonts w:ascii="Cambria" w:hAnsi="Cambria" w:cs="Times New Roman"/>
      <w:b/>
      <w:bCs/>
      <w:sz w:val="28"/>
      <w:szCs w:val="28"/>
    </w:rPr>
  </w:style>
  <w:style w:type="character" w:default="1" w:styleId="9">
    <w:name w:val="Default Paragraph Font"/>
    <w:semiHidden/>
    <w:qFormat/>
    <w:uiPriority w:val="0"/>
  </w:style>
  <w:style w:type="table" w:default="1" w:styleId="13">
    <w:name w:val="Normal Table"/>
    <w:semiHidden/>
    <w:uiPriority w:val="0"/>
    <w:tblPr>
      <w:tblLayout w:type="fixed"/>
      <w:tblCellMar>
        <w:top w:w="0" w:type="dxa"/>
        <w:left w:w="108" w:type="dxa"/>
        <w:bottom w:w="0" w:type="dxa"/>
        <w:right w:w="108" w:type="dxa"/>
      </w:tblCellMar>
    </w:tblPr>
  </w:style>
  <w:style w:type="paragraph" w:styleId="6">
    <w:name w:val="footer"/>
    <w:basedOn w:val="1"/>
    <w:qFormat/>
    <w:uiPriority w:val="0"/>
    <w:pPr>
      <w:tabs>
        <w:tab w:val="center" w:pos="4153"/>
        <w:tab w:val="right" w:pos="8306"/>
      </w:tabs>
      <w:snapToGrid w:val="0"/>
      <w:spacing w:line="240" w:lineRule="auto"/>
      <w:jc w:val="left"/>
    </w:pPr>
    <w:rPr>
      <w:sz w:val="18"/>
      <w:szCs w:val="18"/>
    </w:rPr>
  </w:style>
  <w:style w:type="paragraph" w:styleId="7">
    <w:name w:val="header"/>
    <w:basedOn w:val="1"/>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8">
    <w:name w:val="Normal (Web)"/>
    <w:basedOn w:val="1"/>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character" w:styleId="10">
    <w:name w:val="page number"/>
    <w:basedOn w:val="9"/>
    <w:uiPriority w:val="0"/>
  </w:style>
  <w:style w:type="character" w:styleId="11">
    <w:name w:val="FollowedHyperlink"/>
    <w:uiPriority w:val="0"/>
    <w:rPr>
      <w:color w:val="800080"/>
      <w:u w:val="single"/>
    </w:rPr>
  </w:style>
  <w:style w:type="character" w:styleId="12">
    <w:name w:val="Hyperlink"/>
    <w:uiPriority w:val="0"/>
    <w:rPr>
      <w:color w:val="0000FF"/>
      <w:u w:val="single"/>
    </w:rPr>
  </w:style>
  <w:style w:type="paragraph" w:customStyle="1" w:styleId="14">
    <w:name w:val="泃河"/>
    <w:basedOn w:val="1"/>
    <w:uiPriority w:val="0"/>
    <w:rPr>
      <w:rFonts w:ascii="宋体" w:hAnsi="宋体" w:cs="Times New Roman"/>
      <w:szCs w:val="28"/>
    </w:rPr>
  </w:style>
  <w:style w:type="paragraph" w:customStyle="1" w:styleId="15">
    <w:name w:val="表头"/>
    <w:basedOn w:val="1"/>
    <w:uiPriority w:val="0"/>
    <w:pPr>
      <w:spacing w:line="240" w:lineRule="auto"/>
      <w:ind w:firstLine="0" w:firstLineChars="0"/>
      <w:jc w:val="center"/>
    </w:pPr>
    <w:rPr>
      <w:rFonts w:ascii="宋体" w:hAnsi="宋体" w:cs="宋体"/>
      <w:b/>
      <w:szCs w:val="24"/>
    </w:rPr>
  </w:style>
  <w:style w:type="paragraph" w:customStyle="1" w:styleId="16">
    <w:name w:val="表格"/>
    <w:basedOn w:val="1"/>
    <w:uiPriority w:val="0"/>
    <w:pPr>
      <w:spacing w:line="240" w:lineRule="auto"/>
      <w:ind w:right="-65" w:rightChars="-27" w:firstLine="0" w:firstLineChars="0"/>
      <w:jc w:val="center"/>
    </w:pPr>
    <w:rPr>
      <w:rFonts w:ascii="宋体" w:hAnsi="宋体" w:cs="Times New Roman"/>
      <w:szCs w:val="24"/>
    </w:rPr>
  </w:style>
  <w:style w:type="paragraph" w:customStyle="1" w:styleId="17">
    <w:name w:val="1、"/>
    <w:basedOn w:val="1"/>
    <w:uiPriority w:val="0"/>
    <w:pPr>
      <w:spacing w:line="480" w:lineRule="exact"/>
    </w:pPr>
    <w:rPr>
      <w:rFonts w:ascii="Calibri" w:hAnsi="Calibri" w:cs="宋体"/>
      <w:szCs w:val="24"/>
    </w:rPr>
  </w:style>
  <w:style w:type="paragraph" w:customStyle="1" w:styleId="18">
    <w:name w:val="正文格式"/>
    <w:basedOn w:val="1"/>
    <w:uiPriority w:val="0"/>
    <w:pPr>
      <w:spacing w:afterLines="50"/>
      <w:ind w:left="566" w:leftChars="202" w:firstLine="150" w:firstLineChars="150"/>
      <w:jc w:val="left"/>
    </w:pPr>
    <w:rPr>
      <w:rFonts w:ascii="仿宋_GB2312" w:hAnsi="华文细黑" w:eastAsia="仿宋_GB2312" w:cs="Times New Roman"/>
      <w:spacing w:val="6"/>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4" Type="http://schemas.openxmlformats.org/officeDocument/2006/relationships/fontTable" Target="fontTable.xml"/><Relationship Id="rId53" Type="http://schemas.openxmlformats.org/officeDocument/2006/relationships/numbering" Target="numbering.xml"/><Relationship Id="rId52" Type="http://schemas.openxmlformats.org/officeDocument/2006/relationships/customXml" Target="../customXml/item1.xml"/><Relationship Id="rId51" Type="http://schemas.openxmlformats.org/officeDocument/2006/relationships/image" Target="media/image32.emf"/><Relationship Id="rId50" Type="http://schemas.openxmlformats.org/officeDocument/2006/relationships/image" Target="media/image31.emf"/><Relationship Id="rId5" Type="http://schemas.openxmlformats.org/officeDocument/2006/relationships/header" Target="header3.xml"/><Relationship Id="rId49" Type="http://schemas.openxmlformats.org/officeDocument/2006/relationships/image" Target="media/image30.emf"/><Relationship Id="rId48" Type="http://schemas.openxmlformats.org/officeDocument/2006/relationships/image" Target="media/image29.emf"/><Relationship Id="rId47" Type="http://schemas.openxmlformats.org/officeDocument/2006/relationships/image" Target="media/image28.emf"/><Relationship Id="rId46" Type="http://schemas.openxmlformats.org/officeDocument/2006/relationships/image" Target="media/image27.emf"/><Relationship Id="rId45" Type="http://schemas.openxmlformats.org/officeDocument/2006/relationships/image" Target="media/image26.png"/><Relationship Id="rId44" Type="http://schemas.openxmlformats.org/officeDocument/2006/relationships/image" Target="media/image25.jpeg"/><Relationship Id="rId43" Type="http://schemas.openxmlformats.org/officeDocument/2006/relationships/image" Target="media/image24.emf"/><Relationship Id="rId42" Type="http://schemas.openxmlformats.org/officeDocument/2006/relationships/image" Target="media/image23.emf"/><Relationship Id="rId41" Type="http://schemas.openxmlformats.org/officeDocument/2006/relationships/image" Target="media/image22.jpeg"/><Relationship Id="rId40" Type="http://schemas.openxmlformats.org/officeDocument/2006/relationships/image" Target="media/image21.jpeg"/><Relationship Id="rId4" Type="http://schemas.openxmlformats.org/officeDocument/2006/relationships/header" Target="header2.xml"/><Relationship Id="rId39" Type="http://schemas.openxmlformats.org/officeDocument/2006/relationships/image" Target="media/image20.emf"/><Relationship Id="rId38" Type="http://schemas.openxmlformats.org/officeDocument/2006/relationships/image" Target="media/image19.emf"/><Relationship Id="rId37" Type="http://schemas.openxmlformats.org/officeDocument/2006/relationships/image" Target="media/image18.emf"/><Relationship Id="rId36" Type="http://schemas.openxmlformats.org/officeDocument/2006/relationships/image" Target="media/image17.emf"/><Relationship Id="rId35" Type="http://schemas.openxmlformats.org/officeDocument/2006/relationships/image" Target="media/image16.emf"/><Relationship Id="rId34" Type="http://schemas.openxmlformats.org/officeDocument/2006/relationships/image" Target="media/image15.emf"/><Relationship Id="rId33" Type="http://schemas.openxmlformats.org/officeDocument/2006/relationships/image" Target="media/image14.png"/><Relationship Id="rId32" Type="http://schemas.openxmlformats.org/officeDocument/2006/relationships/image" Target="media/image13.png"/><Relationship Id="rId31" Type="http://schemas.openxmlformats.org/officeDocument/2006/relationships/image" Target="media/image12.png"/><Relationship Id="rId30" Type="http://schemas.openxmlformats.org/officeDocument/2006/relationships/image" Target="media/image11.png"/><Relationship Id="rId3" Type="http://schemas.openxmlformats.org/officeDocument/2006/relationships/header" Target="header1.xml"/><Relationship Id="rId29" Type="http://schemas.openxmlformats.org/officeDocument/2006/relationships/image" Target="media/image10.png"/><Relationship Id="rId28" Type="http://schemas.openxmlformats.org/officeDocument/2006/relationships/image" Target="media/image9.png"/><Relationship Id="rId27" Type="http://schemas.openxmlformats.org/officeDocument/2006/relationships/image" Target="media/image8.png"/><Relationship Id="rId26" Type="http://schemas.openxmlformats.org/officeDocument/2006/relationships/image" Target="media/image7.png"/><Relationship Id="rId25" Type="http://schemas.openxmlformats.org/officeDocument/2006/relationships/image" Target="media/image6.emf"/><Relationship Id="rId24" Type="http://schemas.openxmlformats.org/officeDocument/2006/relationships/image" Target="media/image5.jpeg"/><Relationship Id="rId23" Type="http://schemas.openxmlformats.org/officeDocument/2006/relationships/image" Target="media/image4.png"/><Relationship Id="rId22" Type="http://schemas.openxmlformats.org/officeDocument/2006/relationships/image" Target="media/image3.png"/><Relationship Id="rId21" Type="http://schemas.openxmlformats.org/officeDocument/2006/relationships/image" Target="media/image2.png"/><Relationship Id="rId20" Type="http://schemas.openxmlformats.org/officeDocument/2006/relationships/image" Target="media/image1.emf"/><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Office_10.8.0.6470_F1E327BC-269C-435d-A152-05C5408002CA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Lenovo</dc:creator>
  <cp:lastModifiedBy>Lenovo</cp:lastModifiedBy>
  <dcterms:modified xsi:type="dcterms:W3CDTF">2019-12-17T02:48:39Z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2052-10.8.0.6470</vt:lpwstr>
  </property>
</Properties>
</file>