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76" w:lineRule="exact"/>
        <w:ind w:firstLine="640"/>
        <w:rPr>
          <w:rFonts w:eastAsia="仿宋_GB2312"/>
          <w:sz w:val="32"/>
          <w:szCs w:val="32"/>
        </w:rPr>
      </w:pPr>
      <w:r>
        <w:rPr>
          <w:rFonts w:eastAsia="仿宋_GB2312"/>
          <w:sz w:val="32"/>
          <w:szCs w:val="32"/>
        </w:rPr>
        <w:t>生化需氧量、石油类、化学需氧量等指标超标情况。</w:t>
      </w:r>
    </w:p>
    <w:p>
      <w:pPr>
        <w:pStyle w:val="4"/>
        <w:spacing w:line="576" w:lineRule="exact"/>
        <w:ind w:firstLine="643"/>
      </w:pPr>
      <w:bookmarkStart w:id="0" w:name="_Toc23784089"/>
      <w:r>
        <w:t>5.2.2达标方案实施后水质状况</w:t>
      </w:r>
      <w:bookmarkEnd w:id="0"/>
    </w:p>
    <w:p>
      <w:pPr>
        <w:spacing w:line="576" w:lineRule="exact"/>
        <w:ind w:firstLine="640"/>
        <w:rPr>
          <w:rFonts w:eastAsia="仿宋_GB2312"/>
          <w:sz w:val="32"/>
          <w:szCs w:val="32"/>
        </w:rPr>
      </w:pPr>
      <w:r>
        <w:rPr>
          <w:rFonts w:eastAsia="仿宋_GB2312"/>
          <w:sz w:val="32"/>
          <w:szCs w:val="32"/>
        </w:rPr>
        <w:t>本次水质分析取吴村、大套桥断面2016年1月</w:t>
      </w:r>
      <w:r>
        <w:rPr>
          <w:rFonts w:hint="eastAsia" w:eastAsia="仿宋_GB2312"/>
          <w:sz w:val="32"/>
          <w:szCs w:val="32"/>
        </w:rPr>
        <w:t>—</w:t>
      </w:r>
      <w:r>
        <w:rPr>
          <w:rFonts w:eastAsia="仿宋_GB2312"/>
          <w:sz w:val="32"/>
          <w:szCs w:val="32"/>
        </w:rPr>
        <w:t>2019年8月共44个月的水质监测数据作为分析依据，其监测及评价结果详见表5</w:t>
      </w:r>
      <w:r>
        <w:rPr>
          <w:rFonts w:hint="eastAsia" w:eastAsia="仿宋_GB2312"/>
          <w:sz w:val="32"/>
          <w:szCs w:val="32"/>
        </w:rPr>
        <w:t>-</w:t>
      </w:r>
      <w:r>
        <w:rPr>
          <w:rFonts w:eastAsia="仿宋_GB2312"/>
          <w:sz w:val="32"/>
          <w:szCs w:val="32"/>
        </w:rPr>
        <w:t>1。</w:t>
      </w:r>
    </w:p>
    <w:p>
      <w:pPr>
        <w:snapToGrid w:val="0"/>
        <w:spacing w:before="163" w:beforeLines="50" w:after="163" w:afterLines="50" w:line="240" w:lineRule="auto"/>
        <w:ind w:firstLine="0" w:firstLineChars="0"/>
        <w:jc w:val="center"/>
        <w:rPr>
          <w:rFonts w:ascii="黑体" w:hAnsi="黑体" w:eastAsia="黑体"/>
          <w:spacing w:val="-6"/>
          <w:sz w:val="32"/>
          <w:szCs w:val="32"/>
        </w:rPr>
      </w:pPr>
      <w:r>
        <w:rPr>
          <w:rFonts w:ascii="黑体" w:hAnsi="黑体" w:eastAsia="黑体"/>
          <w:spacing w:val="-6"/>
          <w:sz w:val="32"/>
          <w:szCs w:val="32"/>
        </w:rPr>
        <w:t>表5</w:t>
      </w:r>
      <w:r>
        <w:rPr>
          <w:rFonts w:hint="eastAsia" w:eastAsia="仿宋_GB2312"/>
          <w:sz w:val="32"/>
          <w:szCs w:val="32"/>
        </w:rPr>
        <w:t>-</w:t>
      </w:r>
      <w:r>
        <w:rPr>
          <w:rFonts w:ascii="黑体" w:hAnsi="黑体" w:eastAsia="黑体"/>
          <w:spacing w:val="-6"/>
          <w:sz w:val="32"/>
          <w:szCs w:val="32"/>
        </w:rPr>
        <w:t>1</w:t>
      </w:r>
      <w:r>
        <w:rPr>
          <w:rFonts w:hint="eastAsia" w:ascii="黑体" w:hAnsi="黑体" w:eastAsia="黑体"/>
          <w:spacing w:val="-6"/>
          <w:sz w:val="32"/>
          <w:szCs w:val="32"/>
        </w:rPr>
        <w:t>　</w:t>
      </w:r>
      <w:r>
        <w:rPr>
          <w:rFonts w:ascii="黑体" w:hAnsi="黑体" w:eastAsia="黑体"/>
          <w:spacing w:val="-6"/>
          <w:sz w:val="32"/>
          <w:szCs w:val="32"/>
        </w:rPr>
        <w:t>2016</w:t>
      </w:r>
      <w:r>
        <w:rPr>
          <w:rFonts w:hint="eastAsia" w:ascii="黑体" w:hAnsi="黑体" w:eastAsia="黑体"/>
          <w:spacing w:val="-6"/>
          <w:sz w:val="32"/>
          <w:szCs w:val="32"/>
        </w:rPr>
        <w:t>—</w:t>
      </w:r>
      <w:r>
        <w:rPr>
          <w:rFonts w:ascii="黑体" w:hAnsi="黑体" w:eastAsia="黑体"/>
          <w:spacing w:val="-6"/>
          <w:sz w:val="32"/>
          <w:szCs w:val="32"/>
        </w:rPr>
        <w:t>2019年潮白河吴村、大套桥断面水质监测结果表</w:t>
      </w:r>
    </w:p>
    <w:tbl>
      <w:tblPr>
        <w:tblStyle w:val="9"/>
        <w:tblW w:w="8838" w:type="dxa"/>
        <w:tblInd w:w="-5" w:type="dxa"/>
        <w:tblLayout w:type="fixed"/>
        <w:tblCellMar>
          <w:top w:w="0" w:type="dxa"/>
          <w:left w:w="0" w:type="dxa"/>
          <w:bottom w:w="0" w:type="dxa"/>
          <w:right w:w="28" w:type="dxa"/>
        </w:tblCellMar>
      </w:tblPr>
      <w:tblGrid>
        <w:gridCol w:w="764"/>
        <w:gridCol w:w="781"/>
        <w:gridCol w:w="616"/>
        <w:gridCol w:w="420"/>
        <w:gridCol w:w="896"/>
        <w:gridCol w:w="854"/>
        <w:gridCol w:w="826"/>
        <w:gridCol w:w="853"/>
        <w:gridCol w:w="854"/>
        <w:gridCol w:w="518"/>
        <w:gridCol w:w="1456"/>
      </w:tblGrid>
      <w:tr>
        <w:tblPrEx>
          <w:tblLayout w:type="fixed"/>
          <w:tblCellMar>
            <w:top w:w="0" w:type="dxa"/>
            <w:left w:w="0" w:type="dxa"/>
            <w:bottom w:w="0" w:type="dxa"/>
            <w:right w:w="28" w:type="dxa"/>
          </w:tblCellMar>
        </w:tblPrEx>
        <w:trPr>
          <w:trHeight w:val="257" w:hRule="atLeast"/>
          <w:tblHeader/>
        </w:trPr>
        <w:tc>
          <w:tcPr>
            <w:tcW w:w="7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断面</w:t>
            </w:r>
          </w:p>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名称</w:t>
            </w:r>
          </w:p>
        </w:tc>
        <w:tc>
          <w:tcPr>
            <w:tcW w:w="781"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所在</w:t>
            </w:r>
          </w:p>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河流</w:t>
            </w:r>
          </w:p>
        </w:tc>
        <w:tc>
          <w:tcPr>
            <w:tcW w:w="616"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年</w:t>
            </w:r>
          </w:p>
        </w:tc>
        <w:tc>
          <w:tcPr>
            <w:tcW w:w="420"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月</w:t>
            </w:r>
          </w:p>
        </w:tc>
        <w:tc>
          <w:tcPr>
            <w:tcW w:w="896"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CODmn</w:t>
            </w:r>
          </w:p>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（mg/L）</w:t>
            </w:r>
          </w:p>
        </w:tc>
        <w:tc>
          <w:tcPr>
            <w:tcW w:w="854"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BOD</w:t>
            </w:r>
            <w:r>
              <w:rPr>
                <w:rFonts w:eastAsia="仿宋_GB2312"/>
                <w:b/>
                <w:bCs/>
                <w:kern w:val="0"/>
                <w:sz w:val="21"/>
                <w:szCs w:val="21"/>
                <w:vertAlign w:val="subscript"/>
              </w:rPr>
              <w:t>5</w:t>
            </w:r>
          </w:p>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（mg/L）</w:t>
            </w:r>
          </w:p>
        </w:tc>
        <w:tc>
          <w:tcPr>
            <w:tcW w:w="826"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氨氮（mg/L）</w:t>
            </w:r>
          </w:p>
        </w:tc>
        <w:tc>
          <w:tcPr>
            <w:tcW w:w="853"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CODcr</w:t>
            </w:r>
          </w:p>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（mg/L）</w:t>
            </w:r>
          </w:p>
        </w:tc>
        <w:tc>
          <w:tcPr>
            <w:tcW w:w="854"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总磷（mg/L）</w:t>
            </w:r>
          </w:p>
        </w:tc>
        <w:tc>
          <w:tcPr>
            <w:tcW w:w="518"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水质类别</w:t>
            </w:r>
          </w:p>
        </w:tc>
        <w:tc>
          <w:tcPr>
            <w:tcW w:w="1456"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b/>
                <w:bCs/>
                <w:kern w:val="0"/>
                <w:sz w:val="21"/>
                <w:szCs w:val="21"/>
              </w:rPr>
            </w:pPr>
            <w:r>
              <w:rPr>
                <w:rFonts w:eastAsia="仿宋_GB2312"/>
                <w:b/>
                <w:bCs/>
                <w:kern w:val="0"/>
                <w:sz w:val="21"/>
                <w:szCs w:val="21"/>
              </w:rPr>
              <w:t>超标因子和倍数</w:t>
            </w:r>
          </w:p>
        </w:tc>
      </w:tr>
      <w:tr>
        <w:tblPrEx>
          <w:tblLayout w:type="fixed"/>
          <w:tblCellMar>
            <w:top w:w="0" w:type="dxa"/>
            <w:left w:w="0" w:type="dxa"/>
            <w:bottom w:w="0" w:type="dxa"/>
            <w:right w:w="28" w:type="dxa"/>
          </w:tblCellMar>
        </w:tblPrEx>
        <w:trPr>
          <w:trHeight w:val="424"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1-2</w:t>
            </w:r>
          </w:p>
        </w:tc>
        <w:tc>
          <w:tcPr>
            <w:tcW w:w="6257" w:type="dxa"/>
            <w:gridSpan w:val="7"/>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冰封未测</w:t>
            </w:r>
          </w:p>
        </w:tc>
      </w:tr>
      <w:tr>
        <w:tblPrEx>
          <w:tblLayout w:type="fixed"/>
          <w:tblCellMar>
            <w:top w:w="0" w:type="dxa"/>
            <w:left w:w="0" w:type="dxa"/>
            <w:bottom w:w="0" w:type="dxa"/>
            <w:right w:w="28" w:type="dxa"/>
          </w:tblCellMar>
        </w:tblPrEx>
        <w:trPr>
          <w:trHeight w:val="10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9.46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4.8</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7.06</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110</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0.63</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氨氮（2.5）、化学需氧量（1.8）、总磷（0.6）</w:t>
            </w:r>
          </w:p>
        </w:tc>
      </w:tr>
      <w:tr>
        <w:tblPrEx>
          <w:tblLayout w:type="fixed"/>
          <w:tblCellMar>
            <w:top w:w="0" w:type="dxa"/>
            <w:left w:w="0" w:type="dxa"/>
            <w:bottom w:w="0" w:type="dxa"/>
            <w:right w:w="28" w:type="dxa"/>
          </w:tblCellMar>
        </w:tblPrEx>
        <w:trPr>
          <w:trHeight w:val="1037"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6.4</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2.96</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43</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0.76</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氨氮（0.5）、化学需氧量（0.1）、总磷（0.9）</w:t>
            </w:r>
          </w:p>
        </w:tc>
      </w:tr>
      <w:tr>
        <w:tblPrEx>
          <w:tblLayout w:type="fixed"/>
          <w:tblCellMar>
            <w:top w:w="0" w:type="dxa"/>
            <w:left w:w="0" w:type="dxa"/>
            <w:bottom w:w="0" w:type="dxa"/>
            <w:right w:w="28" w:type="dxa"/>
          </w:tblCellMar>
        </w:tblPrEx>
        <w:trPr>
          <w:trHeight w:val="675"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8.82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9.3</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7.94</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1.17</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氨氮（3）、总磷（1.9）</w:t>
            </w:r>
          </w:p>
        </w:tc>
      </w:tr>
      <w:tr>
        <w:tblPrEx>
          <w:tblLayout w:type="fixed"/>
          <w:tblCellMar>
            <w:top w:w="0" w:type="dxa"/>
            <w:left w:w="0" w:type="dxa"/>
            <w:bottom w:w="0" w:type="dxa"/>
            <w:right w:w="28" w:type="dxa"/>
          </w:tblCellMar>
        </w:tblPrEx>
        <w:trPr>
          <w:trHeight w:val="968"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4.33</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5.3</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10.01</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0.81</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氨氮（4）、化学需氧量（0.2）、总磷（1）</w:t>
            </w:r>
          </w:p>
        </w:tc>
      </w:tr>
      <w:tr>
        <w:tblPrEx>
          <w:tblLayout w:type="fixed"/>
          <w:tblCellMar>
            <w:top w:w="0" w:type="dxa"/>
            <w:left w:w="0" w:type="dxa"/>
            <w:bottom w:w="0" w:type="dxa"/>
            <w:right w:w="28" w:type="dxa"/>
          </w:tblCellMar>
        </w:tblPrEx>
        <w:trPr>
          <w:trHeight w:val="996"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9.32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5.4</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8.66</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1.14</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氨氮（3.3）、化学需氧量（0.4）、总磷（1.9）</w:t>
            </w:r>
          </w:p>
        </w:tc>
      </w:tr>
      <w:tr>
        <w:tblPrEx>
          <w:tblLayout w:type="fixed"/>
          <w:tblCellMar>
            <w:top w:w="0" w:type="dxa"/>
            <w:left w:w="0" w:type="dxa"/>
            <w:bottom w:w="0" w:type="dxa"/>
            <w:right w:w="28" w:type="dxa"/>
          </w:tblCellMar>
        </w:tblPrEx>
        <w:trPr>
          <w:trHeight w:val="394"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6.71</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6.3</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2.27</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0.4</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氨氮（0.1）</w:t>
            </w:r>
          </w:p>
        </w:tc>
      </w:tr>
      <w:tr>
        <w:tblPrEx>
          <w:tblLayout w:type="fixed"/>
          <w:tblCellMar>
            <w:top w:w="0" w:type="dxa"/>
            <w:left w:w="0" w:type="dxa"/>
            <w:bottom w:w="0" w:type="dxa"/>
            <w:right w:w="28" w:type="dxa"/>
          </w:tblCellMar>
        </w:tblPrEx>
        <w:trPr>
          <w:trHeight w:val="1051"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7.46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8.97</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0.82</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氨氮（3.5）、化学需氧量（0.7）、总磷（1.1）</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6.03</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5.6</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6.52</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0.63</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氨氮（2.3）、总磷（0.6）</w:t>
            </w:r>
          </w:p>
        </w:tc>
      </w:tr>
      <w:tr>
        <w:tblPrEx>
          <w:tblLayout w:type="fixed"/>
          <w:tblCellMar>
            <w:top w:w="0" w:type="dxa"/>
            <w:left w:w="0" w:type="dxa"/>
            <w:bottom w:w="0" w:type="dxa"/>
            <w:right w:w="28" w:type="dxa"/>
          </w:tblCellMar>
        </w:tblPrEx>
        <w:trPr>
          <w:trHeight w:val="674"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11</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8.44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4.2</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8.1</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0.55</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氨氮（3.1）、总磷（0.4）</w:t>
            </w:r>
          </w:p>
        </w:tc>
      </w:tr>
      <w:tr>
        <w:tblPrEx>
          <w:tblLayout w:type="fixed"/>
          <w:tblCellMar>
            <w:top w:w="0" w:type="dxa"/>
            <w:left w:w="0" w:type="dxa"/>
            <w:bottom w:w="0" w:type="dxa"/>
            <w:right w:w="28" w:type="dxa"/>
          </w:tblCellMar>
        </w:tblPrEx>
        <w:trPr>
          <w:trHeight w:val="1051"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12</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9.81</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4.8</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8.65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0.71</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氨氮（3.3）、化学需氧量（0.2）、总磷（0.8）</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年均</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6.1</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7.11</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49.4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0.762</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氨氮（2.6）、化学需氧量（0.2）、总磷（0.9）</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8.32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4.7</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6.68</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0.64</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氨氮（2.3）、总磷（0.6）</w:t>
            </w:r>
          </w:p>
        </w:tc>
      </w:tr>
      <w:tr>
        <w:tblPrEx>
          <w:tblLayout w:type="fixed"/>
          <w:tblCellMar>
            <w:top w:w="0" w:type="dxa"/>
            <w:left w:w="0" w:type="dxa"/>
            <w:bottom w:w="0" w:type="dxa"/>
            <w:right w:w="28" w:type="dxa"/>
          </w:tblCellMar>
        </w:tblPrEx>
        <w:trPr>
          <w:trHeight w:val="4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w:t>
            </w:r>
          </w:p>
        </w:tc>
        <w:tc>
          <w:tcPr>
            <w:tcW w:w="6257" w:type="dxa"/>
            <w:gridSpan w:val="7"/>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冰封未测</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7.33</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7.6</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10.55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37</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0.68</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氨氮（4.3）、总磷（0.7）、阴离子表面活性剂（0.2）</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8.05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6.8</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8.91</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0.71</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氨氮（3.5）、总磷（0.8）</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9.05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4.9</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8.75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31</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0.77</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氨氮（3.4）、总磷（0.9）</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6.97</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4.7</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4.08</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0.68</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氨氮（1）、总磷（0.7）</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8.62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4.1</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2.4</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0.44</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氨氮（0.2）、总磷（0.1）</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5.04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12.8</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1.4</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30</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0.36</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生化需氧量（0.3）</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8.98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10.1</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0.689</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0.48</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生化需氧量（0.01）、总磷（0.2）</w:t>
            </w:r>
          </w:p>
        </w:tc>
      </w:tr>
      <w:tr>
        <w:tblPrEx>
          <w:tblLayout w:type="fixed"/>
          <w:tblCellMar>
            <w:top w:w="0" w:type="dxa"/>
            <w:left w:w="0" w:type="dxa"/>
            <w:bottom w:w="0" w:type="dxa"/>
            <w:right w:w="28" w:type="dxa"/>
          </w:tblCellMar>
        </w:tblPrEx>
        <w:trPr>
          <w:trHeight w:val="135"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5.65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4.95</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4.255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34.5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0.315</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氨氮（1.1）</w:t>
            </w:r>
          </w:p>
        </w:tc>
      </w:tr>
      <w:tr>
        <w:tblPrEx>
          <w:tblLayout w:type="fixed"/>
          <w:tblCellMar>
            <w:top w:w="0" w:type="dxa"/>
            <w:left w:w="0" w:type="dxa"/>
            <w:bottom w:w="0" w:type="dxa"/>
            <w:right w:w="28" w:type="dxa"/>
          </w:tblCellMar>
        </w:tblPrEx>
        <w:trPr>
          <w:trHeight w:val="151"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11</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5.55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6.15</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3.14</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38.5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0.165</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氨氮（0.6）</w:t>
            </w:r>
          </w:p>
        </w:tc>
      </w:tr>
      <w:tr>
        <w:tblPrEx>
          <w:tblLayout w:type="fixed"/>
          <w:tblCellMar>
            <w:top w:w="0" w:type="dxa"/>
            <w:left w:w="0" w:type="dxa"/>
            <w:bottom w:w="0" w:type="dxa"/>
            <w:right w:w="28" w:type="dxa"/>
          </w:tblCellMar>
        </w:tblPrEx>
        <w:trPr>
          <w:trHeight w:val="674"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12</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2.15</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2.8</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40.5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0.105</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氨氮（0.4）、化学需氧量（0.01）</w:t>
            </w:r>
          </w:p>
        </w:tc>
      </w:tr>
      <w:tr>
        <w:tblPrEx>
          <w:tblLayout w:type="fixed"/>
          <w:tblCellMar>
            <w:top w:w="0" w:type="dxa"/>
            <w:left w:w="0" w:type="dxa"/>
            <w:bottom w:w="0" w:type="dxa"/>
            <w:right w:w="28" w:type="dxa"/>
          </w:tblCellMar>
        </w:tblPrEx>
        <w:trPr>
          <w:trHeight w:val="660"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年均</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6.3</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4.88</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33.1</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0.486</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氨氮（1.4）、总磷（0.2）</w:t>
            </w:r>
          </w:p>
        </w:tc>
      </w:tr>
      <w:tr>
        <w:tblPrEx>
          <w:tblLayout w:type="fixed"/>
          <w:tblCellMar>
            <w:top w:w="0" w:type="dxa"/>
            <w:left w:w="0" w:type="dxa"/>
            <w:bottom w:w="0" w:type="dxa"/>
            <w:right w:w="28" w:type="dxa"/>
          </w:tblCellMar>
        </w:tblPrEx>
        <w:trPr>
          <w:trHeight w:val="145"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3.5</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2.945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28.5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0.295</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氨氮（0.5）</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5.04</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0.36</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氨氮（1.5）</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4.2</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3.29</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0.33</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氨氮（0.6）</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3.6</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1.75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0.24</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1.26</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30</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0.26</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Ⅳ</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5.4</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0.34</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0.26</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Ⅳ</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897"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13.4</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0.95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0.19</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生化需氧量（0.3）、化学需氧量（0.2）</w:t>
            </w:r>
          </w:p>
        </w:tc>
      </w:tr>
      <w:tr>
        <w:tblPrEx>
          <w:tblLayout w:type="fixed"/>
          <w:tblCellMar>
            <w:top w:w="0" w:type="dxa"/>
            <w:left w:w="0" w:type="dxa"/>
            <w:bottom w:w="0" w:type="dxa"/>
            <w:right w:w="28" w:type="dxa"/>
          </w:tblCellMar>
        </w:tblPrEx>
        <w:trPr>
          <w:trHeight w:val="687"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7.6</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0.18</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化学需氧量（0.2）</w:t>
            </w:r>
          </w:p>
        </w:tc>
      </w:tr>
      <w:tr>
        <w:tblPrEx>
          <w:tblLayout w:type="fixed"/>
          <w:tblCellMar>
            <w:top w:w="0" w:type="dxa"/>
            <w:left w:w="0" w:type="dxa"/>
            <w:bottom w:w="0" w:type="dxa"/>
            <w:right w:w="28" w:type="dxa"/>
          </w:tblCellMar>
        </w:tblPrEx>
        <w:trPr>
          <w:trHeight w:val="140"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7.6</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0.3</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151"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4.2</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0.13</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0.14</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Ⅳ</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11</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5.3</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0.6</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0.12</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Ⅳ</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12</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8.1</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6.2</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0.42</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30</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0.16</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年均</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5.9</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1.43</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31</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0.238</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659" w:hRule="atLeast"/>
        </w:trPr>
        <w:tc>
          <w:tcPr>
            <w:tcW w:w="7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w:t>
            </w:r>
          </w:p>
        </w:tc>
        <w:tc>
          <w:tcPr>
            <w:tcW w:w="89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5.3</w:t>
            </w:r>
          </w:p>
        </w:tc>
        <w:tc>
          <w:tcPr>
            <w:tcW w:w="854"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1.4</w:t>
            </w:r>
          </w:p>
        </w:tc>
        <w:tc>
          <w:tcPr>
            <w:tcW w:w="826"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1.8</w:t>
            </w:r>
          </w:p>
        </w:tc>
        <w:tc>
          <w:tcPr>
            <w:tcW w:w="853"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19</w:t>
            </w:r>
          </w:p>
        </w:tc>
        <w:tc>
          <w:tcPr>
            <w:tcW w:w="854"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0.17</w:t>
            </w:r>
          </w:p>
        </w:tc>
        <w:tc>
          <w:tcPr>
            <w:tcW w:w="5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Ⅴ</w:t>
            </w:r>
          </w:p>
        </w:tc>
        <w:tc>
          <w:tcPr>
            <w:tcW w:w="1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化学需氧量（0.1）</w:t>
            </w:r>
          </w:p>
        </w:tc>
      </w:tr>
      <w:tr>
        <w:tblPrEx>
          <w:tblLayout w:type="fixed"/>
          <w:tblCellMar>
            <w:top w:w="0" w:type="dxa"/>
            <w:left w:w="0" w:type="dxa"/>
            <w:bottom w:w="0" w:type="dxa"/>
            <w:right w:w="28" w:type="dxa"/>
          </w:tblCellMar>
        </w:tblPrEx>
        <w:trPr>
          <w:trHeight w:val="968"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w:t>
            </w:r>
          </w:p>
        </w:tc>
        <w:tc>
          <w:tcPr>
            <w:tcW w:w="89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5.5</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1.18</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0.14</w:t>
            </w:r>
          </w:p>
        </w:tc>
        <w:tc>
          <w:tcPr>
            <w:tcW w:w="518"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PH、生化需氧量（0.4）、化学需氧量（0.2）</w:t>
            </w:r>
          </w:p>
        </w:tc>
      </w:tr>
      <w:tr>
        <w:tblPrEx>
          <w:tblLayout w:type="fixed"/>
          <w:tblCellMar>
            <w:top w:w="0" w:type="dxa"/>
            <w:left w:w="0" w:type="dxa"/>
            <w:bottom w:w="0" w:type="dxa"/>
            <w:right w:w="28" w:type="dxa"/>
          </w:tblCellMar>
        </w:tblPrEx>
        <w:trPr>
          <w:trHeight w:val="731"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w:t>
            </w:r>
          </w:p>
        </w:tc>
        <w:tc>
          <w:tcPr>
            <w:tcW w:w="89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7.8</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1.55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0.23</w:t>
            </w:r>
          </w:p>
        </w:tc>
        <w:tc>
          <w:tcPr>
            <w:tcW w:w="518"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化学需氧量（0.1）</w:t>
            </w:r>
          </w:p>
        </w:tc>
      </w:tr>
      <w:tr>
        <w:tblPrEx>
          <w:tblLayout w:type="fixed"/>
          <w:tblCellMar>
            <w:top w:w="0" w:type="dxa"/>
            <w:left w:w="0" w:type="dxa"/>
            <w:bottom w:w="0" w:type="dxa"/>
            <w:right w:w="28" w:type="dxa"/>
          </w:tblCellMar>
        </w:tblPrEx>
        <w:trPr>
          <w:trHeight w:val="98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w:t>
            </w:r>
          </w:p>
        </w:tc>
        <w:tc>
          <w:tcPr>
            <w:tcW w:w="89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14.4</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1.03</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0.14</w:t>
            </w:r>
          </w:p>
        </w:tc>
        <w:tc>
          <w:tcPr>
            <w:tcW w:w="518"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化学需氧量（0.2）、生化需氧量（0.01）</w:t>
            </w:r>
          </w:p>
        </w:tc>
      </w:tr>
      <w:tr>
        <w:tblPrEx>
          <w:tblLayout w:type="fixed"/>
          <w:tblCellMar>
            <w:top w:w="0" w:type="dxa"/>
            <w:left w:w="0" w:type="dxa"/>
            <w:bottom w:w="0" w:type="dxa"/>
            <w:right w:w="28" w:type="dxa"/>
          </w:tblCellMar>
        </w:tblPrEx>
        <w:trPr>
          <w:trHeight w:val="98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w:t>
            </w:r>
          </w:p>
        </w:tc>
        <w:tc>
          <w:tcPr>
            <w:tcW w:w="89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8.3</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1.52</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43</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0.12</w:t>
            </w:r>
          </w:p>
        </w:tc>
        <w:tc>
          <w:tcPr>
            <w:tcW w:w="518"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生化需氧量（0.6）、化学需氧量（0.5）</w:t>
            </w:r>
          </w:p>
        </w:tc>
      </w:tr>
      <w:tr>
        <w:tblPrEx>
          <w:tblLayout w:type="fixed"/>
          <w:tblCellMar>
            <w:top w:w="0" w:type="dxa"/>
            <w:left w:w="0" w:type="dxa"/>
            <w:bottom w:w="0" w:type="dxa"/>
            <w:right w:w="28" w:type="dxa"/>
          </w:tblCellMar>
        </w:tblPrEx>
        <w:trPr>
          <w:trHeight w:val="1357"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w:t>
            </w:r>
          </w:p>
        </w:tc>
        <w:tc>
          <w:tcPr>
            <w:tcW w:w="89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10.1</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0.84</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0.18</w:t>
            </w:r>
          </w:p>
        </w:tc>
        <w:tc>
          <w:tcPr>
            <w:tcW w:w="518"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生化需氧量（0.2）、化学需氧量（0.2）、氨氮（0.1）</w:t>
            </w:r>
          </w:p>
        </w:tc>
      </w:tr>
      <w:tr>
        <w:tblPrEx>
          <w:tblLayout w:type="fixed"/>
          <w:tblCellMar>
            <w:top w:w="0" w:type="dxa"/>
            <w:left w:w="0" w:type="dxa"/>
            <w:bottom w:w="0" w:type="dxa"/>
            <w:right w:w="28" w:type="dxa"/>
          </w:tblCellMar>
        </w:tblPrEx>
        <w:trPr>
          <w:trHeight w:val="729" w:hRule="atLeast"/>
        </w:trPr>
        <w:tc>
          <w:tcPr>
            <w:tcW w:w="7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single" w:color="auto" w:sz="4" w:space="0"/>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w:t>
            </w:r>
          </w:p>
        </w:tc>
        <w:tc>
          <w:tcPr>
            <w:tcW w:w="89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13.2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16</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0.55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0.33</w:t>
            </w:r>
          </w:p>
        </w:tc>
        <w:tc>
          <w:tcPr>
            <w:tcW w:w="518"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化学需氧量（0.1）</w:t>
            </w:r>
          </w:p>
        </w:tc>
      </w:tr>
      <w:tr>
        <w:tblPrEx>
          <w:tblLayout w:type="fixed"/>
          <w:tblCellMar>
            <w:top w:w="0" w:type="dxa"/>
            <w:left w:w="0" w:type="dxa"/>
            <w:bottom w:w="0" w:type="dxa"/>
            <w:right w:w="28" w:type="dxa"/>
          </w:tblCellMar>
        </w:tblPrEx>
        <w:trPr>
          <w:trHeight w:val="1036"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吴村</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w:t>
            </w:r>
          </w:p>
        </w:tc>
        <w:tc>
          <w:tcPr>
            <w:tcW w:w="89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12.3</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2.14</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w:t>
            </w:r>
          </w:p>
        </w:tc>
        <w:tc>
          <w:tcPr>
            <w:tcW w:w="518"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PH、生化需氧量（0.4）、化学需氧量（0.2）</w:t>
            </w:r>
          </w:p>
        </w:tc>
      </w:tr>
      <w:tr>
        <w:tblPrEx>
          <w:tblLayout w:type="fixed"/>
          <w:tblCellMar>
            <w:top w:w="0" w:type="dxa"/>
            <w:left w:w="0" w:type="dxa"/>
            <w:bottom w:w="0" w:type="dxa"/>
            <w:right w:w="28" w:type="dxa"/>
          </w:tblCellMar>
        </w:tblPrEx>
        <w:trPr>
          <w:trHeight w:val="660"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10.3</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8.56</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31.8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0.582</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氨氮（3.3）、总磷（0.5）</w:t>
            </w:r>
          </w:p>
        </w:tc>
      </w:tr>
      <w:tr>
        <w:tblPrEx>
          <w:tblLayout w:type="fixed"/>
          <w:tblCellMar>
            <w:top w:w="0" w:type="dxa"/>
            <w:left w:w="0" w:type="dxa"/>
            <w:bottom w:w="0" w:type="dxa"/>
            <w:right w:w="28" w:type="dxa"/>
          </w:tblCellMar>
        </w:tblPrEx>
        <w:trPr>
          <w:trHeight w:val="63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w:t>
            </w:r>
          </w:p>
        </w:tc>
        <w:tc>
          <w:tcPr>
            <w:tcW w:w="6257" w:type="dxa"/>
            <w:gridSpan w:val="7"/>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冰封未测</w:t>
            </w:r>
          </w:p>
        </w:tc>
      </w:tr>
      <w:tr>
        <w:tblPrEx>
          <w:tblLayout w:type="fixed"/>
          <w:tblCellMar>
            <w:top w:w="0" w:type="dxa"/>
            <w:left w:w="0" w:type="dxa"/>
            <w:bottom w:w="0" w:type="dxa"/>
            <w:right w:w="28" w:type="dxa"/>
          </w:tblCellMar>
        </w:tblPrEx>
        <w:trPr>
          <w:trHeight w:val="1946"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22.2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10.4</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0.753</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74.8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0.535</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高锰酸盐指数（0.5）、生化需氧量（0.04）、化学需氧量（0.9）、总磷（0.3）</w:t>
            </w:r>
          </w:p>
        </w:tc>
      </w:tr>
      <w:tr>
        <w:tblPrEx>
          <w:tblLayout w:type="fixed"/>
          <w:tblCellMar>
            <w:top w:w="0" w:type="dxa"/>
            <w:left w:w="0" w:type="dxa"/>
            <w:bottom w:w="0" w:type="dxa"/>
            <w:right w:w="28" w:type="dxa"/>
          </w:tblCellMar>
        </w:tblPrEx>
        <w:trPr>
          <w:trHeight w:val="660"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11.6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7.7</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1.76</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39.2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0.369</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758"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5.8</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5.95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39.7</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氨氮（2）、总磷（1.5）</w:t>
            </w:r>
          </w:p>
        </w:tc>
      </w:tr>
      <w:tr>
        <w:tblPrEx>
          <w:tblLayout w:type="fixed"/>
          <w:tblCellMar>
            <w:top w:w="0" w:type="dxa"/>
            <w:left w:w="0" w:type="dxa"/>
            <w:bottom w:w="0" w:type="dxa"/>
            <w:right w:w="28" w:type="dxa"/>
          </w:tblCellMar>
        </w:tblPrEx>
        <w:trPr>
          <w:trHeight w:val="661"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3.6</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9.75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29.2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0.794</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氨氮（3.9）、总磷（1）</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9.95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5.68</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40.6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1.18</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化学需氧量（0.02）、总磷（2）</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7.48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3.5</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0.917</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0.484</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总磷（0.2）</w:t>
            </w:r>
          </w:p>
        </w:tc>
      </w:tr>
      <w:tr>
        <w:tblPrEx>
          <w:tblLayout w:type="fixed"/>
          <w:tblCellMar>
            <w:top w:w="0" w:type="dxa"/>
            <w:left w:w="0" w:type="dxa"/>
            <w:bottom w:w="0" w:type="dxa"/>
            <w:right w:w="28" w:type="dxa"/>
          </w:tblCellMar>
        </w:tblPrEx>
        <w:trPr>
          <w:trHeight w:val="701"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4.5</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4.73</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33.9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0.75</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氨氮（1.4）、总磷（0.9）</w:t>
            </w:r>
          </w:p>
        </w:tc>
      </w:tr>
      <w:tr>
        <w:tblPrEx>
          <w:tblLayout w:type="fixed"/>
          <w:tblCellMar>
            <w:top w:w="0" w:type="dxa"/>
            <w:left w:w="0" w:type="dxa"/>
            <w:bottom w:w="0" w:type="dxa"/>
            <w:right w:w="28" w:type="dxa"/>
          </w:tblCellMar>
        </w:tblPrEx>
        <w:trPr>
          <w:trHeight w:val="757"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2.6</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3.6</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0.66</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氨氮（0.8）、总磷（0.7）</w:t>
            </w:r>
          </w:p>
        </w:tc>
      </w:tr>
      <w:tr>
        <w:tblPrEx>
          <w:tblLayout w:type="fixed"/>
          <w:tblCellMar>
            <w:top w:w="0" w:type="dxa"/>
            <w:left w:w="0" w:type="dxa"/>
            <w:bottom w:w="0" w:type="dxa"/>
            <w:right w:w="28" w:type="dxa"/>
          </w:tblCellMar>
        </w:tblPrEx>
        <w:trPr>
          <w:trHeight w:val="673"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11</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7.1</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3.64</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27</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0.43</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氨氮（0.8）、总磷（0.1）</w:t>
            </w:r>
          </w:p>
        </w:tc>
      </w:tr>
      <w:tr>
        <w:tblPrEx>
          <w:tblLayout w:type="fixed"/>
          <w:tblCellMar>
            <w:top w:w="0" w:type="dxa"/>
            <w:left w:w="0" w:type="dxa"/>
            <w:bottom w:w="0" w:type="dxa"/>
            <w:right w:w="28" w:type="dxa"/>
          </w:tblCellMar>
        </w:tblPrEx>
        <w:trPr>
          <w:trHeight w:val="673"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12</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5.4</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8.51</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0.74</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氨氮（3.3）、总磷（0.9）</w:t>
            </w:r>
          </w:p>
        </w:tc>
      </w:tr>
      <w:tr>
        <w:tblPrEx>
          <w:tblLayout w:type="fixed"/>
          <w:tblCellMar>
            <w:top w:w="0" w:type="dxa"/>
            <w:left w:w="0" w:type="dxa"/>
            <w:bottom w:w="0" w:type="dxa"/>
            <w:right w:w="28" w:type="dxa"/>
          </w:tblCellMar>
        </w:tblPrEx>
        <w:trPr>
          <w:trHeight w:val="2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2016</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年均值</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5.2</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4.56</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37.6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0.684</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氨氮（1.3）、总磷（0.7）</w:t>
            </w:r>
          </w:p>
        </w:tc>
      </w:tr>
      <w:tr>
        <w:tblPrEx>
          <w:tblLayout w:type="fixed"/>
          <w:tblCellMar>
            <w:top w:w="0" w:type="dxa"/>
            <w:left w:w="0" w:type="dxa"/>
            <w:bottom w:w="0" w:type="dxa"/>
            <w:right w:w="28" w:type="dxa"/>
          </w:tblCellMar>
        </w:tblPrEx>
        <w:trPr>
          <w:trHeight w:val="660"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3.2</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7.21</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30</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0.68</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氨氮（2.6）、总磷（0.7）</w:t>
            </w:r>
          </w:p>
        </w:tc>
      </w:tr>
      <w:tr>
        <w:tblPrEx>
          <w:tblLayout w:type="fixed"/>
          <w:tblCellMar>
            <w:top w:w="0" w:type="dxa"/>
            <w:left w:w="0" w:type="dxa"/>
            <w:bottom w:w="0" w:type="dxa"/>
            <w:right w:w="28" w:type="dxa"/>
          </w:tblCellMar>
        </w:tblPrEx>
        <w:trPr>
          <w:trHeight w:val="633"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5.17</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0.54</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氨氮（1.6）、总磷（0.4）</w:t>
            </w:r>
          </w:p>
        </w:tc>
      </w:tr>
      <w:tr>
        <w:tblPrEx>
          <w:tblLayout w:type="fixed"/>
          <w:tblCellMar>
            <w:top w:w="0" w:type="dxa"/>
            <w:left w:w="0" w:type="dxa"/>
            <w:bottom w:w="0" w:type="dxa"/>
            <w:right w:w="28" w:type="dxa"/>
          </w:tblCellMar>
        </w:tblPrEx>
        <w:trPr>
          <w:trHeight w:val="952"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5.2</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3.1</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0.56</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氨氮（0.6）、化学需氧量（0.2）、总磷（0.4）</w:t>
            </w:r>
          </w:p>
        </w:tc>
      </w:tr>
      <w:tr>
        <w:tblPrEx>
          <w:tblLayout w:type="fixed"/>
          <w:tblCellMar>
            <w:top w:w="0" w:type="dxa"/>
            <w:left w:w="0" w:type="dxa"/>
            <w:bottom w:w="0" w:type="dxa"/>
            <w:right w:w="28" w:type="dxa"/>
          </w:tblCellMar>
        </w:tblPrEx>
        <w:trPr>
          <w:trHeight w:val="744"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5.1</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0.68</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氨氮（3）、总磷（0.7）</w:t>
            </w:r>
          </w:p>
        </w:tc>
      </w:tr>
      <w:tr>
        <w:tblPrEx>
          <w:tblLayout w:type="fixed"/>
          <w:tblCellMar>
            <w:top w:w="0" w:type="dxa"/>
            <w:left w:w="0" w:type="dxa"/>
            <w:bottom w:w="0" w:type="dxa"/>
            <w:right w:w="28" w:type="dxa"/>
          </w:tblCellMar>
        </w:tblPrEx>
        <w:trPr>
          <w:trHeight w:val="758"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6.46</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31</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0.58</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氨氮（2.2）、总磷（0.5）</w:t>
            </w:r>
          </w:p>
        </w:tc>
      </w:tr>
      <w:tr>
        <w:tblPrEx>
          <w:tblLayout w:type="fixed"/>
          <w:tblCellMar>
            <w:top w:w="0" w:type="dxa"/>
            <w:left w:w="0" w:type="dxa"/>
            <w:bottom w:w="0" w:type="dxa"/>
            <w:right w:w="28" w:type="dxa"/>
          </w:tblCellMar>
        </w:tblPrEx>
        <w:trPr>
          <w:trHeight w:val="687"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2.5</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4.34</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0.75</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氨氮（1.2）、总磷（0.9）</w:t>
            </w:r>
          </w:p>
        </w:tc>
      </w:tr>
      <w:tr>
        <w:tblPrEx>
          <w:tblLayout w:type="fixed"/>
          <w:tblCellMar>
            <w:top w:w="0" w:type="dxa"/>
            <w:left w:w="0" w:type="dxa"/>
            <w:bottom w:w="0" w:type="dxa"/>
            <w:right w:w="28" w:type="dxa"/>
          </w:tblCellMar>
        </w:tblPrEx>
        <w:trPr>
          <w:trHeight w:val="743"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7</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3.2</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3.84</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21</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0.42</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氨氮（0.9）、总磷（0.05）</w:t>
            </w:r>
          </w:p>
        </w:tc>
      </w:tr>
      <w:tr>
        <w:tblPrEx>
          <w:tblLayout w:type="fixed"/>
          <w:tblCellMar>
            <w:top w:w="0" w:type="dxa"/>
            <w:left w:w="0" w:type="dxa"/>
            <w:bottom w:w="0" w:type="dxa"/>
            <w:right w:w="28" w:type="dxa"/>
          </w:tblCellMar>
        </w:tblPrEx>
        <w:trPr>
          <w:trHeight w:val="660"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0.34</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0.28</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688"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10.4</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4.3</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0.17</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0.3</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674"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6.15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2.3</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1.55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0.33</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659"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11</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6.6</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8.05</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0.8825</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26.5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0.14</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673"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12</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5.8</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1.21</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33</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0.235</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855"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2017</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年均值</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8.9</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4.4</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3.52</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31.1</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0.458</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氨氮（0.8）、总磷（0.1）</w:t>
            </w:r>
          </w:p>
        </w:tc>
      </w:tr>
      <w:tr>
        <w:tblPrEx>
          <w:tblLayout w:type="fixed"/>
          <w:tblCellMar>
            <w:top w:w="0" w:type="dxa"/>
            <w:left w:w="0" w:type="dxa"/>
            <w:bottom w:w="0" w:type="dxa"/>
            <w:right w:w="28" w:type="dxa"/>
          </w:tblCellMar>
        </w:tblPrEx>
        <w:trPr>
          <w:trHeight w:val="729"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13.5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9.2</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1.43</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52</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0.225</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化学需氧量（0.3）</w:t>
            </w:r>
          </w:p>
        </w:tc>
      </w:tr>
      <w:tr>
        <w:tblPrEx>
          <w:tblLayout w:type="fixed"/>
          <w:tblCellMar>
            <w:top w:w="0" w:type="dxa"/>
            <w:left w:w="0" w:type="dxa"/>
            <w:bottom w:w="0" w:type="dxa"/>
            <w:right w:w="28" w:type="dxa"/>
          </w:tblCellMar>
        </w:tblPrEx>
        <w:trPr>
          <w:trHeight w:val="1316"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10.3</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3.73</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42.5</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0.29</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生化需氧量（0.03）、氨氮（0.9）、化学需氧量（0.1）</w:t>
            </w:r>
          </w:p>
        </w:tc>
      </w:tr>
      <w:tr>
        <w:tblPrEx>
          <w:tblLayout w:type="fixed"/>
          <w:tblCellMar>
            <w:top w:w="0" w:type="dxa"/>
            <w:left w:w="0" w:type="dxa"/>
            <w:bottom w:w="0" w:type="dxa"/>
            <w:right w:w="28" w:type="dxa"/>
          </w:tblCellMar>
        </w:tblPrEx>
        <w:trPr>
          <w:trHeight w:val="995"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3</w:t>
            </w:r>
          </w:p>
        </w:tc>
        <w:tc>
          <w:tcPr>
            <w:tcW w:w="89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11.8</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12.6</w:t>
            </w:r>
          </w:p>
        </w:tc>
        <w:tc>
          <w:tcPr>
            <w:tcW w:w="82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1.53</w:t>
            </w:r>
          </w:p>
        </w:tc>
        <w:tc>
          <w:tcPr>
            <w:tcW w:w="85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41</w:t>
            </w:r>
          </w:p>
        </w:tc>
        <w:tc>
          <w:tcPr>
            <w:tcW w:w="85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0.26</w:t>
            </w:r>
          </w:p>
        </w:tc>
        <w:tc>
          <w:tcPr>
            <w:tcW w:w="518"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kern w:val="0"/>
                <w:sz w:val="21"/>
                <w:szCs w:val="21"/>
              </w:rPr>
            </w:pPr>
            <w:r>
              <w:rPr>
                <w:rFonts w:eastAsia="仿宋_GB2312"/>
                <w:kern w:val="0"/>
                <w:sz w:val="21"/>
                <w:szCs w:val="21"/>
              </w:rPr>
              <w:t>生化需氧量（0.3）、化学需氧量（0.02）</w:t>
            </w:r>
          </w:p>
        </w:tc>
      </w:tr>
      <w:tr>
        <w:tblPrEx>
          <w:tblLayout w:type="fixed"/>
          <w:tblCellMar>
            <w:top w:w="0" w:type="dxa"/>
            <w:left w:w="0" w:type="dxa"/>
            <w:bottom w:w="0" w:type="dxa"/>
            <w:right w:w="28" w:type="dxa"/>
          </w:tblCellMar>
        </w:tblPrEx>
        <w:trPr>
          <w:trHeight w:val="1318"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4</w:t>
            </w:r>
          </w:p>
        </w:tc>
        <w:tc>
          <w:tcPr>
            <w:tcW w:w="89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15.8</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12</w:t>
            </w:r>
          </w:p>
        </w:tc>
        <w:tc>
          <w:tcPr>
            <w:tcW w:w="82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0.36</w:t>
            </w:r>
          </w:p>
        </w:tc>
        <w:tc>
          <w:tcPr>
            <w:tcW w:w="853"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67</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0.18</w:t>
            </w:r>
          </w:p>
        </w:tc>
        <w:tc>
          <w:tcPr>
            <w:tcW w:w="518"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高锰酸盐指数（0.1）、生化需氧量（0.2）、化学需氧量（0.7）</w:t>
            </w:r>
          </w:p>
        </w:tc>
      </w:tr>
      <w:tr>
        <w:tblPrEx>
          <w:tblLayout w:type="fixed"/>
          <w:tblCellMar>
            <w:top w:w="0" w:type="dxa"/>
            <w:left w:w="0" w:type="dxa"/>
            <w:bottom w:w="0" w:type="dxa"/>
            <w:right w:w="28" w:type="dxa"/>
          </w:tblCellMar>
        </w:tblPrEx>
        <w:trPr>
          <w:trHeight w:val="1344"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5</w:t>
            </w:r>
          </w:p>
        </w:tc>
        <w:tc>
          <w:tcPr>
            <w:tcW w:w="89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16.4</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12</w:t>
            </w:r>
          </w:p>
        </w:tc>
        <w:tc>
          <w:tcPr>
            <w:tcW w:w="82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0.4</w:t>
            </w:r>
          </w:p>
        </w:tc>
        <w:tc>
          <w:tcPr>
            <w:tcW w:w="853"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58</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0.19</w:t>
            </w:r>
          </w:p>
        </w:tc>
        <w:tc>
          <w:tcPr>
            <w:tcW w:w="518"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高锰酸盐指数（0.1）、生化需氧量（0.2）、化学需氧量（0.5）</w:t>
            </w:r>
          </w:p>
        </w:tc>
      </w:tr>
      <w:tr>
        <w:tblPrEx>
          <w:tblLayout w:type="fixed"/>
          <w:tblCellMar>
            <w:top w:w="0" w:type="dxa"/>
            <w:left w:w="0" w:type="dxa"/>
            <w:bottom w:w="0" w:type="dxa"/>
            <w:right w:w="28" w:type="dxa"/>
          </w:tblCellMar>
        </w:tblPrEx>
        <w:trPr>
          <w:trHeight w:val="1079"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6</w:t>
            </w:r>
          </w:p>
        </w:tc>
        <w:tc>
          <w:tcPr>
            <w:tcW w:w="89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13</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13</w:t>
            </w:r>
          </w:p>
        </w:tc>
        <w:tc>
          <w:tcPr>
            <w:tcW w:w="82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0.36</w:t>
            </w:r>
          </w:p>
        </w:tc>
        <w:tc>
          <w:tcPr>
            <w:tcW w:w="853"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50</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0.13</w:t>
            </w:r>
          </w:p>
        </w:tc>
        <w:tc>
          <w:tcPr>
            <w:tcW w:w="518"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生化需氧量（0.3）、化学需氧量（0.3）</w:t>
            </w:r>
          </w:p>
        </w:tc>
      </w:tr>
      <w:tr>
        <w:tblPrEx>
          <w:tblLayout w:type="fixed"/>
          <w:tblCellMar>
            <w:top w:w="0" w:type="dxa"/>
            <w:left w:w="0" w:type="dxa"/>
            <w:bottom w:w="0" w:type="dxa"/>
            <w:right w:w="28" w:type="dxa"/>
          </w:tblCellMar>
        </w:tblPrEx>
        <w:trPr>
          <w:trHeight w:val="745"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7</w:t>
            </w:r>
          </w:p>
        </w:tc>
        <w:tc>
          <w:tcPr>
            <w:tcW w:w="89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7.3</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5.5</w:t>
            </w:r>
          </w:p>
        </w:tc>
        <w:tc>
          <w:tcPr>
            <w:tcW w:w="82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0.52</w:t>
            </w:r>
          </w:p>
        </w:tc>
        <w:tc>
          <w:tcPr>
            <w:tcW w:w="853"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30</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0.2</w:t>
            </w:r>
          </w:p>
        </w:tc>
        <w:tc>
          <w:tcPr>
            <w:tcW w:w="518"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kern w:val="0"/>
                <w:sz w:val="21"/>
                <w:szCs w:val="21"/>
              </w:rPr>
              <w:t>Ⅳ</w:t>
            </w:r>
          </w:p>
        </w:tc>
        <w:tc>
          <w:tcPr>
            <w:tcW w:w="145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717"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8</w:t>
            </w:r>
          </w:p>
        </w:tc>
        <w:tc>
          <w:tcPr>
            <w:tcW w:w="89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6.6</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4.8</w:t>
            </w:r>
          </w:p>
        </w:tc>
        <w:tc>
          <w:tcPr>
            <w:tcW w:w="82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0.34</w:t>
            </w:r>
          </w:p>
        </w:tc>
        <w:tc>
          <w:tcPr>
            <w:tcW w:w="853"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28</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0.24</w:t>
            </w:r>
          </w:p>
        </w:tc>
        <w:tc>
          <w:tcPr>
            <w:tcW w:w="518"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kern w:val="0"/>
                <w:sz w:val="21"/>
                <w:szCs w:val="21"/>
              </w:rPr>
              <w:t>Ⅳ</w:t>
            </w:r>
          </w:p>
        </w:tc>
        <w:tc>
          <w:tcPr>
            <w:tcW w:w="145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675"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9</w:t>
            </w:r>
          </w:p>
        </w:tc>
        <w:tc>
          <w:tcPr>
            <w:tcW w:w="89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7.2</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2.8</w:t>
            </w:r>
          </w:p>
        </w:tc>
        <w:tc>
          <w:tcPr>
            <w:tcW w:w="82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0.05</w:t>
            </w:r>
          </w:p>
        </w:tc>
        <w:tc>
          <w:tcPr>
            <w:tcW w:w="853"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25</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0.22</w:t>
            </w:r>
          </w:p>
        </w:tc>
        <w:tc>
          <w:tcPr>
            <w:tcW w:w="518"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kern w:val="0"/>
                <w:sz w:val="21"/>
                <w:szCs w:val="21"/>
              </w:rPr>
              <w:t>Ⅳ</w:t>
            </w:r>
          </w:p>
        </w:tc>
        <w:tc>
          <w:tcPr>
            <w:tcW w:w="145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660"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10</w:t>
            </w:r>
          </w:p>
        </w:tc>
        <w:tc>
          <w:tcPr>
            <w:tcW w:w="89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6.9</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5.2</w:t>
            </w:r>
          </w:p>
        </w:tc>
        <w:tc>
          <w:tcPr>
            <w:tcW w:w="82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0.02</w:t>
            </w:r>
          </w:p>
        </w:tc>
        <w:tc>
          <w:tcPr>
            <w:tcW w:w="853"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41</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0.12</w:t>
            </w:r>
          </w:p>
        </w:tc>
        <w:tc>
          <w:tcPr>
            <w:tcW w:w="518"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化学需氧量（0.02）</w:t>
            </w:r>
          </w:p>
        </w:tc>
      </w:tr>
      <w:tr>
        <w:tblPrEx>
          <w:tblLayout w:type="fixed"/>
          <w:tblCellMar>
            <w:top w:w="0" w:type="dxa"/>
            <w:left w:w="0" w:type="dxa"/>
            <w:bottom w:w="0" w:type="dxa"/>
            <w:right w:w="28" w:type="dxa"/>
          </w:tblCellMar>
        </w:tblPrEx>
        <w:trPr>
          <w:trHeight w:val="674"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11</w:t>
            </w:r>
          </w:p>
        </w:tc>
        <w:tc>
          <w:tcPr>
            <w:tcW w:w="89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5.8</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9</w:t>
            </w:r>
          </w:p>
        </w:tc>
        <w:tc>
          <w:tcPr>
            <w:tcW w:w="82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0.08</w:t>
            </w:r>
          </w:p>
        </w:tc>
        <w:tc>
          <w:tcPr>
            <w:tcW w:w="853"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39</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0.1</w:t>
            </w:r>
          </w:p>
        </w:tc>
        <w:tc>
          <w:tcPr>
            <w:tcW w:w="518"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674"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12</w:t>
            </w:r>
          </w:p>
        </w:tc>
        <w:tc>
          <w:tcPr>
            <w:tcW w:w="89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9</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6.7</w:t>
            </w:r>
          </w:p>
        </w:tc>
        <w:tc>
          <w:tcPr>
            <w:tcW w:w="82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0.42</w:t>
            </w:r>
          </w:p>
        </w:tc>
        <w:tc>
          <w:tcPr>
            <w:tcW w:w="853"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34</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0.16</w:t>
            </w:r>
          </w:p>
        </w:tc>
        <w:tc>
          <w:tcPr>
            <w:tcW w:w="518"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997"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2018</w:t>
            </w:r>
          </w:p>
        </w:tc>
        <w:tc>
          <w:tcPr>
            <w:tcW w:w="420"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年均值</w:t>
            </w:r>
          </w:p>
        </w:tc>
        <w:tc>
          <w:tcPr>
            <w:tcW w:w="89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10.3</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8.6</w:t>
            </w:r>
          </w:p>
        </w:tc>
        <w:tc>
          <w:tcPr>
            <w:tcW w:w="82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0.77</w:t>
            </w:r>
          </w:p>
        </w:tc>
        <w:tc>
          <w:tcPr>
            <w:tcW w:w="853"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42.3</w:t>
            </w:r>
          </w:p>
        </w:tc>
        <w:tc>
          <w:tcPr>
            <w:tcW w:w="854"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0.193</w:t>
            </w:r>
          </w:p>
        </w:tc>
        <w:tc>
          <w:tcPr>
            <w:tcW w:w="518"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化学需氧量（0.1）</w:t>
            </w:r>
          </w:p>
        </w:tc>
      </w:tr>
      <w:tr>
        <w:tblPrEx>
          <w:tblLayout w:type="fixed"/>
          <w:tblCellMar>
            <w:top w:w="0" w:type="dxa"/>
            <w:left w:w="0" w:type="dxa"/>
            <w:bottom w:w="0" w:type="dxa"/>
            <w:right w:w="28" w:type="dxa"/>
          </w:tblCellMar>
        </w:tblPrEx>
        <w:trPr>
          <w:trHeight w:val="716"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single" w:color="auto" w:sz="4" w:space="0"/>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w:t>
            </w:r>
          </w:p>
        </w:tc>
        <w:tc>
          <w:tcPr>
            <w:tcW w:w="896" w:type="dxa"/>
            <w:tcBorders>
              <w:top w:val="single" w:color="auto" w:sz="4" w:space="0"/>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4.7</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3</w:t>
            </w:r>
          </w:p>
        </w:tc>
        <w:tc>
          <w:tcPr>
            <w:tcW w:w="8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1.72</w:t>
            </w:r>
          </w:p>
        </w:tc>
        <w:tc>
          <w:tcPr>
            <w:tcW w:w="85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18</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0.18</w:t>
            </w:r>
          </w:p>
        </w:tc>
        <w:tc>
          <w:tcPr>
            <w:tcW w:w="5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kern w:val="0"/>
                <w:sz w:val="21"/>
                <w:szCs w:val="21"/>
              </w:rPr>
              <w:t>Ⅴ</w:t>
            </w:r>
          </w:p>
        </w:tc>
        <w:tc>
          <w:tcPr>
            <w:tcW w:w="1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688"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w:t>
            </w:r>
          </w:p>
        </w:tc>
        <w:tc>
          <w:tcPr>
            <w:tcW w:w="896" w:type="dxa"/>
            <w:tcBorders>
              <w:top w:val="single" w:color="auto" w:sz="4" w:space="0"/>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6.8</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6.5</w:t>
            </w:r>
          </w:p>
        </w:tc>
        <w:tc>
          <w:tcPr>
            <w:tcW w:w="8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0.72</w:t>
            </w:r>
          </w:p>
        </w:tc>
        <w:tc>
          <w:tcPr>
            <w:tcW w:w="85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36</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0.14</w:t>
            </w:r>
          </w:p>
        </w:tc>
        <w:tc>
          <w:tcPr>
            <w:tcW w:w="5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kern w:val="0"/>
                <w:sz w:val="21"/>
                <w:szCs w:val="21"/>
              </w:rPr>
              <w:t>Ⅴ</w:t>
            </w:r>
          </w:p>
        </w:tc>
        <w:tc>
          <w:tcPr>
            <w:tcW w:w="1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703"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3</w:t>
            </w:r>
          </w:p>
        </w:tc>
        <w:tc>
          <w:tcPr>
            <w:tcW w:w="896" w:type="dxa"/>
            <w:tcBorders>
              <w:top w:val="single" w:color="auto" w:sz="4" w:space="0"/>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11.4</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6.6</w:t>
            </w:r>
          </w:p>
        </w:tc>
        <w:tc>
          <w:tcPr>
            <w:tcW w:w="8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1.02</w:t>
            </w:r>
          </w:p>
        </w:tc>
        <w:tc>
          <w:tcPr>
            <w:tcW w:w="85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48</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0.13</w:t>
            </w:r>
          </w:p>
        </w:tc>
        <w:tc>
          <w:tcPr>
            <w:tcW w:w="5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化学需氧量（0.2）</w:t>
            </w:r>
          </w:p>
        </w:tc>
      </w:tr>
      <w:tr>
        <w:tblPrEx>
          <w:tblLayout w:type="fixed"/>
          <w:tblCellMar>
            <w:top w:w="0" w:type="dxa"/>
            <w:left w:w="0" w:type="dxa"/>
            <w:bottom w:w="0" w:type="dxa"/>
            <w:right w:w="28" w:type="dxa"/>
          </w:tblCellMar>
        </w:tblPrEx>
        <w:trPr>
          <w:trHeight w:val="1066"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4</w:t>
            </w:r>
          </w:p>
        </w:tc>
        <w:tc>
          <w:tcPr>
            <w:tcW w:w="896" w:type="dxa"/>
            <w:tcBorders>
              <w:top w:val="single" w:color="auto" w:sz="4" w:space="0"/>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12.6</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12.5</w:t>
            </w:r>
          </w:p>
        </w:tc>
        <w:tc>
          <w:tcPr>
            <w:tcW w:w="8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0.5</w:t>
            </w:r>
          </w:p>
        </w:tc>
        <w:tc>
          <w:tcPr>
            <w:tcW w:w="85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47</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0.1</w:t>
            </w:r>
          </w:p>
        </w:tc>
        <w:tc>
          <w:tcPr>
            <w:tcW w:w="5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PH、生化需氧量（0.3）、化学需氧量（0.2）</w:t>
            </w:r>
          </w:p>
        </w:tc>
      </w:tr>
      <w:tr>
        <w:tblPrEx>
          <w:tblLayout w:type="fixed"/>
          <w:tblCellMar>
            <w:top w:w="0" w:type="dxa"/>
            <w:left w:w="0" w:type="dxa"/>
            <w:bottom w:w="0" w:type="dxa"/>
            <w:right w:w="28" w:type="dxa"/>
          </w:tblCellMar>
        </w:tblPrEx>
        <w:trPr>
          <w:trHeight w:val="815"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5</w:t>
            </w:r>
          </w:p>
        </w:tc>
        <w:tc>
          <w:tcPr>
            <w:tcW w:w="896" w:type="dxa"/>
            <w:tcBorders>
              <w:top w:val="single" w:color="auto" w:sz="4" w:space="0"/>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12.6</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14.2</w:t>
            </w:r>
          </w:p>
        </w:tc>
        <w:tc>
          <w:tcPr>
            <w:tcW w:w="8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1.22</w:t>
            </w:r>
          </w:p>
        </w:tc>
        <w:tc>
          <w:tcPr>
            <w:tcW w:w="85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31</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0.24</w:t>
            </w:r>
          </w:p>
        </w:tc>
        <w:tc>
          <w:tcPr>
            <w:tcW w:w="5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生化需氧量（0.4）</w:t>
            </w:r>
          </w:p>
        </w:tc>
      </w:tr>
      <w:tr>
        <w:tblPrEx>
          <w:tblLayout w:type="fixed"/>
          <w:tblCellMar>
            <w:top w:w="0" w:type="dxa"/>
            <w:left w:w="0" w:type="dxa"/>
            <w:bottom w:w="0" w:type="dxa"/>
            <w:right w:w="28" w:type="dxa"/>
          </w:tblCellMar>
        </w:tblPrEx>
        <w:trPr>
          <w:trHeight w:val="771"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6</w:t>
            </w:r>
          </w:p>
        </w:tc>
        <w:tc>
          <w:tcPr>
            <w:tcW w:w="896" w:type="dxa"/>
            <w:tcBorders>
              <w:top w:val="single" w:color="auto" w:sz="4" w:space="0"/>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11</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10.2</w:t>
            </w:r>
          </w:p>
        </w:tc>
        <w:tc>
          <w:tcPr>
            <w:tcW w:w="8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0.4</w:t>
            </w:r>
          </w:p>
        </w:tc>
        <w:tc>
          <w:tcPr>
            <w:tcW w:w="85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35</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0.2</w:t>
            </w:r>
          </w:p>
        </w:tc>
        <w:tc>
          <w:tcPr>
            <w:tcW w:w="5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生化需氧量（0.02）</w:t>
            </w:r>
          </w:p>
        </w:tc>
      </w:tr>
      <w:tr>
        <w:tblPrEx>
          <w:tblLayout w:type="fixed"/>
          <w:tblCellMar>
            <w:top w:w="0" w:type="dxa"/>
            <w:left w:w="0" w:type="dxa"/>
            <w:bottom w:w="0" w:type="dxa"/>
            <w:right w:w="28" w:type="dxa"/>
          </w:tblCellMar>
        </w:tblPrEx>
        <w:trPr>
          <w:trHeight w:val="771"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single" w:color="auto" w:sz="4" w:space="0"/>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7</w:t>
            </w:r>
          </w:p>
        </w:tc>
        <w:tc>
          <w:tcPr>
            <w:tcW w:w="896" w:type="dxa"/>
            <w:tcBorders>
              <w:top w:val="single" w:color="auto" w:sz="4" w:space="0"/>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5</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5.6</w:t>
            </w:r>
          </w:p>
        </w:tc>
        <w:tc>
          <w:tcPr>
            <w:tcW w:w="8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0.34</w:t>
            </w:r>
          </w:p>
        </w:tc>
        <w:tc>
          <w:tcPr>
            <w:tcW w:w="85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29</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0.18</w:t>
            </w:r>
          </w:p>
        </w:tc>
        <w:tc>
          <w:tcPr>
            <w:tcW w:w="5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kern w:val="0"/>
                <w:sz w:val="21"/>
                <w:szCs w:val="21"/>
              </w:rPr>
              <w:t>Ⅳ</w:t>
            </w:r>
          </w:p>
        </w:tc>
        <w:tc>
          <w:tcPr>
            <w:tcW w:w="1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p>
        </w:tc>
      </w:tr>
      <w:tr>
        <w:tblPrEx>
          <w:tblLayout w:type="fixed"/>
          <w:tblCellMar>
            <w:top w:w="0" w:type="dxa"/>
            <w:left w:w="0" w:type="dxa"/>
            <w:bottom w:w="0" w:type="dxa"/>
            <w:right w:w="28" w:type="dxa"/>
          </w:tblCellMar>
        </w:tblPrEx>
        <w:trPr>
          <w:trHeight w:val="690" w:hRule="atLeast"/>
        </w:trPr>
        <w:tc>
          <w:tcPr>
            <w:tcW w:w="764"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大套桥</w:t>
            </w:r>
          </w:p>
        </w:tc>
        <w:tc>
          <w:tcPr>
            <w:tcW w:w="781"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潮白新河</w:t>
            </w:r>
          </w:p>
        </w:tc>
        <w:tc>
          <w:tcPr>
            <w:tcW w:w="616" w:type="dxa"/>
            <w:tcBorders>
              <w:top w:val="nil"/>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2019</w:t>
            </w:r>
          </w:p>
        </w:tc>
        <w:tc>
          <w:tcPr>
            <w:tcW w:w="420" w:type="dxa"/>
            <w:tcBorders>
              <w:top w:val="nil"/>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8</w:t>
            </w:r>
          </w:p>
        </w:tc>
        <w:tc>
          <w:tcPr>
            <w:tcW w:w="896" w:type="dxa"/>
            <w:tcBorders>
              <w:top w:val="single" w:color="auto" w:sz="4" w:space="0"/>
              <w:left w:val="nil"/>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6</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5.6</w:t>
            </w:r>
          </w:p>
        </w:tc>
        <w:tc>
          <w:tcPr>
            <w:tcW w:w="8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2.6</w:t>
            </w:r>
          </w:p>
        </w:tc>
        <w:tc>
          <w:tcPr>
            <w:tcW w:w="85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22</w:t>
            </w:r>
          </w:p>
        </w:tc>
        <w:tc>
          <w:tcPr>
            <w:tcW w:w="85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0.22</w:t>
            </w:r>
          </w:p>
        </w:tc>
        <w:tc>
          <w:tcPr>
            <w:tcW w:w="5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劣</w:t>
            </w:r>
            <w:r>
              <w:rPr>
                <w:kern w:val="0"/>
                <w:sz w:val="21"/>
                <w:szCs w:val="21"/>
              </w:rPr>
              <w:t>Ⅴ</w:t>
            </w:r>
          </w:p>
        </w:tc>
        <w:tc>
          <w:tcPr>
            <w:tcW w:w="1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80" w:lineRule="exact"/>
              <w:ind w:firstLine="0" w:firstLineChars="0"/>
              <w:jc w:val="center"/>
              <w:rPr>
                <w:rFonts w:eastAsia="仿宋_GB2312"/>
                <w:kern w:val="0"/>
                <w:sz w:val="21"/>
                <w:szCs w:val="21"/>
              </w:rPr>
            </w:pPr>
            <w:r>
              <w:rPr>
                <w:rFonts w:eastAsia="仿宋_GB2312"/>
                <w:kern w:val="0"/>
                <w:sz w:val="21"/>
                <w:szCs w:val="21"/>
              </w:rPr>
              <w:t>氨氮（0.3）</w:t>
            </w:r>
          </w:p>
        </w:tc>
      </w:tr>
    </w:tbl>
    <w:p>
      <w:pPr>
        <w:spacing w:before="97" w:beforeLines="30" w:line="590" w:lineRule="exact"/>
        <w:ind w:firstLine="640"/>
        <w:rPr>
          <w:rFonts w:eastAsia="仿宋_GB2312"/>
          <w:sz w:val="32"/>
          <w:szCs w:val="32"/>
        </w:rPr>
      </w:pPr>
      <w:r>
        <w:rPr>
          <w:rFonts w:eastAsia="仿宋_GB2312"/>
          <w:sz w:val="32"/>
          <w:szCs w:val="32"/>
        </w:rPr>
        <w:t>由上表可知，吴村断面2018年年均水质类别为</w:t>
      </w:r>
      <w:r>
        <w:rPr>
          <w:sz w:val="32"/>
          <w:szCs w:val="32"/>
        </w:rPr>
        <w:t>Ⅴ</w:t>
      </w:r>
      <w:r>
        <w:rPr>
          <w:rFonts w:eastAsia="仿宋_GB2312"/>
          <w:sz w:val="32"/>
          <w:szCs w:val="32"/>
        </w:rPr>
        <w:t>类，已达到考核目标要求，水质改善明显。从具体水质指标来看，2016</w:t>
      </w:r>
      <w:r>
        <w:rPr>
          <w:rFonts w:hint="eastAsia" w:eastAsia="仿宋_GB2312"/>
          <w:sz w:val="32"/>
          <w:szCs w:val="32"/>
        </w:rPr>
        <w:t>—</w:t>
      </w:r>
      <w:r>
        <w:rPr>
          <w:rFonts w:eastAsia="仿宋_GB2312"/>
          <w:sz w:val="32"/>
          <w:szCs w:val="32"/>
        </w:rPr>
        <w:t>2018年主要指标年均浓度均呈下降趋势，2018年较2016年氨氮、总磷、化学需氧量、高锰酸盐指数和生化需氧量浓度分别下降79.9%、68.8%、37.2%、4.8%和3.3%。大套桥断面年均水质类别为劣</w:t>
      </w:r>
      <w:r>
        <w:rPr>
          <w:sz w:val="32"/>
          <w:szCs w:val="32"/>
        </w:rPr>
        <w:t>Ⅴ</w:t>
      </w:r>
      <w:r>
        <w:rPr>
          <w:rFonts w:eastAsia="仿宋_GB2312"/>
          <w:sz w:val="32"/>
          <w:szCs w:val="32"/>
        </w:rPr>
        <w:t>类，未到Ｖ类水质目标要求，主要超标因子由2016年的氨氮超标1.3倍、总磷超标0.7倍变为2018年化学需氧量超标0.1倍，水质改善明显。从具体水质指标来看，氨氮、总磷年均浓度均呈下降趋势，2018年较2016年氨氮、总磷浓度分别下降83.1%、71.8%，生化需氧量、化学需氧量和高锰酸盐指数浓度呈上升趋势，2018年较2016年分别上升65.4%、12.5%和3%。主要污染物浓度变化情况见图5</w:t>
      </w:r>
      <w:r>
        <w:rPr>
          <w:rFonts w:hint="eastAsia" w:eastAsia="仿宋_GB2312"/>
          <w:sz w:val="32"/>
          <w:szCs w:val="32"/>
        </w:rPr>
        <w:t>-</w:t>
      </w:r>
      <w:r>
        <w:rPr>
          <w:rFonts w:eastAsia="仿宋_GB2312"/>
          <w:sz w:val="32"/>
          <w:szCs w:val="32"/>
        </w:rPr>
        <w:t>1至图5</w:t>
      </w:r>
      <w:r>
        <w:rPr>
          <w:rFonts w:hint="eastAsia" w:eastAsia="仿宋_GB2312"/>
          <w:sz w:val="32"/>
          <w:szCs w:val="32"/>
        </w:rPr>
        <w:t>-</w:t>
      </w:r>
      <w:r>
        <w:rPr>
          <w:rFonts w:eastAsia="仿宋_GB2312"/>
          <w:sz w:val="32"/>
          <w:szCs w:val="32"/>
        </w:rPr>
        <w:t>5。</w:t>
      </w:r>
    </w:p>
    <w:p>
      <w:pPr>
        <w:spacing w:line="584" w:lineRule="exact"/>
        <w:ind w:firstLine="480"/>
        <w:rPr>
          <w:rFonts w:eastAsia="仿宋_GB2312"/>
          <w:sz w:val="32"/>
          <w:szCs w:val="32"/>
        </w:rPr>
      </w:pPr>
      <w:r>
        <w:drawing>
          <wp:anchor distT="0" distB="0" distL="114300" distR="114300" simplePos="0" relativeHeight="251671552" behindDoc="0" locked="0" layoutInCell="1" allowOverlap="1">
            <wp:simplePos x="0" y="0"/>
            <wp:positionH relativeFrom="column">
              <wp:posOffset>495300</wp:posOffset>
            </wp:positionH>
            <wp:positionV relativeFrom="paragraph">
              <wp:posOffset>238125</wp:posOffset>
            </wp:positionV>
            <wp:extent cx="4648200" cy="2915285"/>
            <wp:effectExtent l="0" t="0" r="0" b="18415"/>
            <wp:wrapNone/>
            <wp:docPr id="4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5"/>
                    <pic:cNvPicPr>
                      <a:picLocks noChangeAspect="1"/>
                    </pic:cNvPicPr>
                  </pic:nvPicPr>
                  <pic:blipFill>
                    <a:blip r:embed="rId26"/>
                    <a:stretch>
                      <a:fillRect/>
                    </a:stretch>
                  </pic:blipFill>
                  <pic:spPr>
                    <a:xfrm>
                      <a:off x="0" y="0"/>
                      <a:ext cx="4648200" cy="2915285"/>
                    </a:xfrm>
                    <a:prstGeom prst="rect">
                      <a:avLst/>
                    </a:prstGeom>
                    <a:noFill/>
                    <a:ln w="9525">
                      <a:noFill/>
                    </a:ln>
                  </pic:spPr>
                </pic:pic>
              </a:graphicData>
            </a:graphic>
          </wp:anchor>
        </w:drawing>
      </w:r>
    </w:p>
    <w:p>
      <w:pPr>
        <w:spacing w:line="584" w:lineRule="exact"/>
        <w:ind w:firstLine="640"/>
        <w:rPr>
          <w:rFonts w:eastAsia="仿宋_GB2312"/>
          <w:sz w:val="32"/>
          <w:szCs w:val="32"/>
        </w:rPr>
      </w:pPr>
    </w:p>
    <w:p>
      <w:pPr>
        <w:spacing w:line="584" w:lineRule="exact"/>
        <w:ind w:firstLine="640"/>
        <w:rPr>
          <w:rFonts w:eastAsia="仿宋_GB2312"/>
          <w:sz w:val="32"/>
          <w:szCs w:val="32"/>
        </w:rPr>
      </w:pPr>
    </w:p>
    <w:p>
      <w:pPr>
        <w:spacing w:line="584" w:lineRule="exact"/>
        <w:ind w:firstLine="640"/>
        <w:rPr>
          <w:rFonts w:eastAsia="仿宋_GB2312"/>
          <w:sz w:val="32"/>
          <w:szCs w:val="32"/>
        </w:rPr>
      </w:pPr>
    </w:p>
    <w:p>
      <w:pPr>
        <w:spacing w:line="584" w:lineRule="exact"/>
        <w:ind w:firstLine="640"/>
        <w:rPr>
          <w:rFonts w:eastAsia="仿宋_GB2312"/>
          <w:sz w:val="32"/>
          <w:szCs w:val="32"/>
        </w:rPr>
      </w:pPr>
    </w:p>
    <w:p>
      <w:pPr>
        <w:snapToGrid w:val="0"/>
        <w:spacing w:before="97" w:beforeLines="30" w:line="240" w:lineRule="auto"/>
        <w:ind w:firstLine="0" w:firstLineChars="0"/>
        <w:jc w:val="center"/>
        <w:rPr>
          <w:rFonts w:eastAsia="仿宋_GB2312"/>
          <w:b/>
        </w:rPr>
      </w:pPr>
    </w:p>
    <w:p>
      <w:pPr>
        <w:snapToGrid w:val="0"/>
        <w:spacing w:before="97" w:beforeLines="30" w:line="240" w:lineRule="auto"/>
        <w:ind w:firstLine="0" w:firstLineChars="0"/>
        <w:jc w:val="center"/>
        <w:rPr>
          <w:rFonts w:eastAsia="仿宋_GB2312"/>
          <w:b/>
        </w:rPr>
      </w:pPr>
    </w:p>
    <w:p>
      <w:pPr>
        <w:snapToGrid w:val="0"/>
        <w:spacing w:before="97" w:beforeLines="30" w:line="240" w:lineRule="auto"/>
        <w:ind w:firstLine="0" w:firstLineChars="0"/>
        <w:jc w:val="center"/>
        <w:rPr>
          <w:rFonts w:eastAsia="仿宋_GB2312"/>
          <w:b/>
        </w:rPr>
      </w:pPr>
    </w:p>
    <w:p>
      <w:pPr>
        <w:snapToGrid w:val="0"/>
        <w:spacing w:line="240" w:lineRule="exact"/>
        <w:ind w:firstLine="0" w:firstLineChars="0"/>
        <w:jc w:val="center"/>
        <w:rPr>
          <w:rFonts w:hint="eastAsia" w:eastAsia="仿宋_GB2312"/>
          <w:b/>
        </w:rPr>
      </w:pPr>
    </w:p>
    <w:p>
      <w:pPr>
        <w:snapToGrid w:val="0"/>
        <w:spacing w:after="163" w:afterLines="50" w:line="240" w:lineRule="auto"/>
        <w:ind w:firstLine="0" w:firstLineChars="0"/>
        <w:jc w:val="center"/>
        <w:rPr>
          <w:rFonts w:hint="eastAsia" w:eastAsia="仿宋_GB2312"/>
          <w:b/>
        </w:rPr>
      </w:pPr>
    </w:p>
    <w:p>
      <w:pPr>
        <w:snapToGrid w:val="0"/>
        <w:spacing w:after="163" w:afterLines="50" w:line="240" w:lineRule="auto"/>
        <w:ind w:firstLine="0" w:firstLineChars="0"/>
        <w:jc w:val="center"/>
        <w:rPr>
          <w:rFonts w:hint="eastAsia" w:eastAsia="仿宋_GB2312"/>
          <w:b/>
        </w:rPr>
      </w:pPr>
    </w:p>
    <w:p>
      <w:pPr>
        <w:snapToGrid w:val="0"/>
        <w:spacing w:line="100" w:lineRule="exact"/>
        <w:ind w:firstLine="0" w:firstLineChars="0"/>
        <w:jc w:val="center"/>
        <w:rPr>
          <w:rFonts w:hint="eastAsia" w:eastAsia="仿宋_GB2312"/>
          <w:b/>
          <w:szCs w:val="24"/>
        </w:rPr>
      </w:pPr>
    </w:p>
    <w:p>
      <w:pPr>
        <w:snapToGrid w:val="0"/>
        <w:spacing w:before="163" w:beforeLines="50" w:after="163" w:afterLines="50" w:line="240" w:lineRule="auto"/>
        <w:ind w:firstLine="0" w:firstLineChars="0"/>
        <w:jc w:val="center"/>
        <w:rPr>
          <w:rFonts w:eastAsia="仿宋_GB2312"/>
          <w:b/>
          <w:szCs w:val="32"/>
        </w:rPr>
      </w:pPr>
      <w:r>
        <w:rPr>
          <w:rFonts w:eastAsia="仿宋_GB2312"/>
          <w:b/>
          <w:szCs w:val="24"/>
        </w:rPr>
        <w:t>图5</w:t>
      </w:r>
      <w:r>
        <w:rPr>
          <w:rFonts w:hint="eastAsia" w:eastAsia="仿宋_GB2312"/>
          <w:szCs w:val="24"/>
        </w:rPr>
        <w:t>-</w:t>
      </w:r>
      <w:r>
        <w:rPr>
          <w:rFonts w:eastAsia="仿宋_GB2312"/>
          <w:b/>
          <w:szCs w:val="24"/>
        </w:rPr>
        <w:t>1</w:t>
      </w:r>
      <w:r>
        <w:rPr>
          <w:rFonts w:hint="eastAsia" w:eastAsia="仿宋_GB2312"/>
          <w:b/>
          <w:szCs w:val="24"/>
        </w:rPr>
        <w:t>　</w:t>
      </w:r>
      <w:r>
        <w:rPr>
          <w:rFonts w:eastAsia="仿宋_GB2312"/>
          <w:b/>
          <w:szCs w:val="24"/>
        </w:rPr>
        <w:t>吴</w:t>
      </w:r>
      <w:r>
        <w:rPr>
          <w:rFonts w:eastAsia="仿宋_GB2312"/>
          <w:b/>
        </w:rPr>
        <w:t>村、大套桥断面氨氮浓度年际变化</w:t>
      </w:r>
    </w:p>
    <w:p>
      <w:pPr>
        <w:snapToGrid w:val="0"/>
        <w:spacing w:line="240" w:lineRule="auto"/>
        <w:ind w:firstLine="0" w:firstLineChars="0"/>
        <w:jc w:val="center"/>
        <w:rPr>
          <w:rFonts w:hint="eastAsia"/>
        </w:rPr>
      </w:pPr>
      <w:r>
        <w:drawing>
          <wp:inline distT="0" distB="0" distL="114300" distR="114300">
            <wp:extent cx="4191635" cy="2329815"/>
            <wp:effectExtent l="0" t="0" r="18415" b="13335"/>
            <wp:docPr id="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9"/>
                    <pic:cNvPicPr>
                      <a:picLocks noChangeAspect="1"/>
                    </pic:cNvPicPr>
                  </pic:nvPicPr>
                  <pic:blipFill>
                    <a:blip r:embed="rId27"/>
                    <a:stretch>
                      <a:fillRect/>
                    </a:stretch>
                  </pic:blipFill>
                  <pic:spPr>
                    <a:xfrm>
                      <a:off x="0" y="0"/>
                      <a:ext cx="4191635" cy="2329815"/>
                    </a:xfrm>
                    <a:prstGeom prst="rect">
                      <a:avLst/>
                    </a:prstGeom>
                    <a:noFill/>
                    <a:ln w="9525">
                      <a:noFill/>
                    </a:ln>
                  </pic:spPr>
                </pic:pic>
              </a:graphicData>
            </a:graphic>
          </wp:inline>
        </w:drawing>
      </w:r>
    </w:p>
    <w:p>
      <w:pPr>
        <w:snapToGrid w:val="0"/>
        <w:spacing w:line="120" w:lineRule="exact"/>
        <w:ind w:firstLine="0" w:firstLineChars="0"/>
        <w:jc w:val="center"/>
        <w:rPr>
          <w:rFonts w:hint="eastAsia" w:eastAsia="方正仿宋_GBK"/>
          <w:sz w:val="32"/>
          <w:szCs w:val="32"/>
        </w:rPr>
      </w:pPr>
    </w:p>
    <w:p>
      <w:pPr>
        <w:snapToGrid w:val="0"/>
        <w:spacing w:before="97" w:beforeLines="30" w:after="163" w:afterLines="50" w:line="240" w:lineRule="auto"/>
        <w:ind w:firstLine="0" w:firstLineChars="0"/>
        <w:jc w:val="center"/>
        <w:rPr>
          <w:rFonts w:eastAsia="仿宋_GB2312"/>
          <w:b/>
        </w:rPr>
      </w:pPr>
      <w:r>
        <w:rPr>
          <w:rFonts w:eastAsia="仿宋_GB2312"/>
          <w:b/>
          <w:szCs w:val="24"/>
        </w:rPr>
        <w:t>图5</w:t>
      </w:r>
      <w:r>
        <w:rPr>
          <w:rFonts w:hint="eastAsia" w:eastAsia="仿宋_GB2312"/>
          <w:szCs w:val="24"/>
        </w:rPr>
        <w:t>-</w:t>
      </w:r>
      <w:r>
        <w:rPr>
          <w:rFonts w:eastAsia="仿宋_GB2312"/>
          <w:b/>
          <w:szCs w:val="24"/>
        </w:rPr>
        <w:t>2</w:t>
      </w:r>
      <w:r>
        <w:rPr>
          <w:rFonts w:hint="eastAsia" w:eastAsia="仿宋_GB2312"/>
          <w:b/>
          <w:szCs w:val="24"/>
        </w:rPr>
        <w:t>　</w:t>
      </w:r>
      <w:r>
        <w:rPr>
          <w:rFonts w:eastAsia="仿宋_GB2312"/>
          <w:b/>
        </w:rPr>
        <w:t>吴村、大套桥断面总磷浓度年际变化</w:t>
      </w:r>
    </w:p>
    <w:p>
      <w:pPr>
        <w:snapToGrid w:val="0"/>
        <w:spacing w:line="240" w:lineRule="auto"/>
        <w:ind w:firstLine="0" w:firstLineChars="0"/>
        <w:jc w:val="center"/>
        <w:rPr>
          <w:rFonts w:eastAsia="方正仿宋_GBK"/>
          <w:sz w:val="32"/>
          <w:szCs w:val="32"/>
        </w:rPr>
      </w:pPr>
      <w:r>
        <w:drawing>
          <wp:inline distT="0" distB="0" distL="114300" distR="114300">
            <wp:extent cx="4249420" cy="2359025"/>
            <wp:effectExtent l="0" t="0" r="17780" b="3175"/>
            <wp:docPr id="4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0"/>
                    <pic:cNvPicPr>
                      <a:picLocks noChangeAspect="1"/>
                    </pic:cNvPicPr>
                  </pic:nvPicPr>
                  <pic:blipFill>
                    <a:blip r:embed="rId28"/>
                    <a:stretch>
                      <a:fillRect/>
                    </a:stretch>
                  </pic:blipFill>
                  <pic:spPr>
                    <a:xfrm>
                      <a:off x="0" y="0"/>
                      <a:ext cx="4249420" cy="2359025"/>
                    </a:xfrm>
                    <a:prstGeom prst="rect">
                      <a:avLst/>
                    </a:prstGeom>
                    <a:noFill/>
                    <a:ln w="9525">
                      <a:noFill/>
                    </a:ln>
                  </pic:spPr>
                </pic:pic>
              </a:graphicData>
            </a:graphic>
          </wp:inline>
        </w:drawing>
      </w:r>
    </w:p>
    <w:p>
      <w:pPr>
        <w:snapToGrid w:val="0"/>
        <w:spacing w:before="163" w:beforeLines="50" w:after="163" w:afterLines="50" w:line="240" w:lineRule="auto"/>
        <w:ind w:firstLine="0" w:firstLineChars="0"/>
        <w:jc w:val="center"/>
        <w:rPr>
          <w:rFonts w:eastAsia="仿宋_GB2312"/>
          <w:b/>
        </w:rPr>
      </w:pPr>
      <w:r>
        <w:rPr>
          <w:rFonts w:eastAsia="仿宋_GB2312"/>
          <w:b/>
          <w:szCs w:val="24"/>
        </w:rPr>
        <w:t>图5</w:t>
      </w:r>
      <w:r>
        <w:rPr>
          <w:rFonts w:hint="eastAsia" w:eastAsia="仿宋_GB2312"/>
          <w:szCs w:val="24"/>
        </w:rPr>
        <w:t>-</w:t>
      </w:r>
      <w:r>
        <w:rPr>
          <w:rFonts w:eastAsia="仿宋_GB2312"/>
          <w:b/>
          <w:szCs w:val="24"/>
        </w:rPr>
        <w:t>3</w:t>
      </w:r>
      <w:r>
        <w:rPr>
          <w:rFonts w:hint="eastAsia" w:eastAsia="仿宋_GB2312"/>
          <w:b/>
          <w:szCs w:val="24"/>
        </w:rPr>
        <w:t>　</w:t>
      </w:r>
      <w:r>
        <w:rPr>
          <w:rFonts w:eastAsia="仿宋_GB2312"/>
          <w:b/>
          <w:szCs w:val="24"/>
        </w:rPr>
        <w:t>吴村、</w:t>
      </w:r>
      <w:r>
        <w:rPr>
          <w:rFonts w:eastAsia="仿宋_GB2312"/>
          <w:b/>
        </w:rPr>
        <w:t>大套桥断面化学需氧量浓度年际变化</w:t>
      </w:r>
    </w:p>
    <w:p>
      <w:pPr>
        <w:snapToGrid w:val="0"/>
        <w:spacing w:line="240" w:lineRule="auto"/>
        <w:ind w:firstLine="0" w:firstLineChars="0"/>
        <w:jc w:val="center"/>
        <w:rPr>
          <w:rFonts w:eastAsia="方正仿宋_GBK"/>
          <w:sz w:val="32"/>
          <w:szCs w:val="32"/>
        </w:rPr>
      </w:pPr>
      <w:r>
        <w:drawing>
          <wp:inline distT="0" distB="0" distL="114300" distR="114300">
            <wp:extent cx="4076700" cy="2416175"/>
            <wp:effectExtent l="0" t="0" r="0" b="3175"/>
            <wp:docPr id="4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1"/>
                    <pic:cNvPicPr>
                      <a:picLocks noChangeAspect="1"/>
                    </pic:cNvPicPr>
                  </pic:nvPicPr>
                  <pic:blipFill>
                    <a:blip r:embed="rId29"/>
                    <a:stretch>
                      <a:fillRect/>
                    </a:stretch>
                  </pic:blipFill>
                  <pic:spPr>
                    <a:xfrm>
                      <a:off x="0" y="0"/>
                      <a:ext cx="4076700" cy="2416175"/>
                    </a:xfrm>
                    <a:prstGeom prst="rect">
                      <a:avLst/>
                    </a:prstGeom>
                    <a:noFill/>
                    <a:ln w="9525">
                      <a:noFill/>
                    </a:ln>
                  </pic:spPr>
                </pic:pic>
              </a:graphicData>
            </a:graphic>
          </wp:inline>
        </w:drawing>
      </w:r>
    </w:p>
    <w:p>
      <w:pPr>
        <w:snapToGrid w:val="0"/>
        <w:spacing w:before="163" w:beforeLines="50" w:line="240" w:lineRule="auto"/>
        <w:ind w:firstLine="0" w:firstLineChars="0"/>
        <w:jc w:val="center"/>
        <w:rPr>
          <w:rFonts w:eastAsia="仿宋_GB2312"/>
          <w:b/>
        </w:rPr>
      </w:pPr>
      <w:r>
        <w:rPr>
          <w:rFonts w:eastAsia="仿宋_GB2312"/>
          <w:b/>
        </w:rPr>
        <w:t>图</w:t>
      </w:r>
      <w:r>
        <w:rPr>
          <w:rFonts w:eastAsia="仿宋_GB2312"/>
          <w:b/>
          <w:szCs w:val="24"/>
        </w:rPr>
        <w:t>5</w:t>
      </w:r>
      <w:r>
        <w:rPr>
          <w:rFonts w:hint="eastAsia" w:eastAsia="仿宋_GB2312"/>
          <w:szCs w:val="24"/>
        </w:rPr>
        <w:t>-</w:t>
      </w:r>
      <w:r>
        <w:rPr>
          <w:rFonts w:eastAsia="仿宋_GB2312"/>
          <w:b/>
          <w:szCs w:val="24"/>
        </w:rPr>
        <w:t>4</w:t>
      </w:r>
      <w:r>
        <w:rPr>
          <w:rFonts w:hint="eastAsia" w:eastAsia="仿宋_GB2312"/>
          <w:b/>
          <w:szCs w:val="24"/>
        </w:rPr>
        <w:t>　</w:t>
      </w:r>
      <w:r>
        <w:rPr>
          <w:rFonts w:eastAsia="仿宋_GB2312"/>
          <w:b/>
        </w:rPr>
        <w:t>吴村、大套桥断面高锰酸盐指数浓度年际变化</w:t>
      </w:r>
    </w:p>
    <w:p>
      <w:pPr>
        <w:snapToGrid w:val="0"/>
        <w:spacing w:line="240" w:lineRule="auto"/>
        <w:ind w:firstLine="0" w:firstLineChars="0"/>
        <w:jc w:val="center"/>
      </w:pPr>
      <w:r>
        <w:drawing>
          <wp:inline distT="0" distB="0" distL="114300" distR="114300">
            <wp:extent cx="4338320" cy="2404745"/>
            <wp:effectExtent l="0" t="0" r="5080" b="14605"/>
            <wp:docPr id="5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2"/>
                    <pic:cNvPicPr>
                      <a:picLocks noChangeAspect="1"/>
                    </pic:cNvPicPr>
                  </pic:nvPicPr>
                  <pic:blipFill>
                    <a:blip r:embed="rId30"/>
                    <a:stretch>
                      <a:fillRect/>
                    </a:stretch>
                  </pic:blipFill>
                  <pic:spPr>
                    <a:xfrm>
                      <a:off x="0" y="0"/>
                      <a:ext cx="4338320" cy="2404745"/>
                    </a:xfrm>
                    <a:prstGeom prst="rect">
                      <a:avLst/>
                    </a:prstGeom>
                    <a:noFill/>
                    <a:ln w="9525">
                      <a:noFill/>
                    </a:ln>
                  </pic:spPr>
                </pic:pic>
              </a:graphicData>
            </a:graphic>
          </wp:inline>
        </w:drawing>
      </w:r>
    </w:p>
    <w:p>
      <w:pPr>
        <w:snapToGrid w:val="0"/>
        <w:spacing w:before="97" w:beforeLines="30" w:after="163" w:afterLines="50" w:line="240" w:lineRule="auto"/>
        <w:ind w:firstLine="0" w:firstLineChars="0"/>
        <w:jc w:val="center"/>
        <w:rPr>
          <w:rFonts w:eastAsia="仿宋_GB2312"/>
          <w:b/>
        </w:rPr>
      </w:pPr>
      <w:r>
        <w:rPr>
          <w:rFonts w:eastAsia="仿宋_GB2312"/>
          <w:b/>
        </w:rPr>
        <w:t>图</w:t>
      </w:r>
      <w:r>
        <w:rPr>
          <w:rFonts w:eastAsia="仿宋_GB2312"/>
          <w:b/>
          <w:szCs w:val="24"/>
        </w:rPr>
        <w:t>5</w:t>
      </w:r>
      <w:r>
        <w:rPr>
          <w:rFonts w:hint="eastAsia" w:eastAsia="仿宋_GB2312"/>
          <w:szCs w:val="24"/>
        </w:rPr>
        <w:t>-</w:t>
      </w:r>
      <w:r>
        <w:rPr>
          <w:rFonts w:eastAsia="仿宋_GB2312"/>
          <w:b/>
          <w:szCs w:val="24"/>
        </w:rPr>
        <w:t>5</w:t>
      </w:r>
      <w:r>
        <w:rPr>
          <w:rFonts w:hint="eastAsia" w:eastAsia="仿宋_GB2312"/>
          <w:b/>
          <w:szCs w:val="24"/>
        </w:rPr>
        <w:t>　</w:t>
      </w:r>
      <w:r>
        <w:rPr>
          <w:rFonts w:eastAsia="仿宋_GB2312"/>
          <w:b/>
        </w:rPr>
        <w:t>吴村、大套桥断面生化需氧量浓度年际变化</w:t>
      </w:r>
    </w:p>
    <w:p>
      <w:pPr>
        <w:spacing w:after="163" w:afterLines="50" w:line="600" w:lineRule="exact"/>
        <w:ind w:firstLine="640"/>
        <w:rPr>
          <w:rFonts w:eastAsia="仿宋_GB2312"/>
          <w:sz w:val="32"/>
          <w:szCs w:val="32"/>
        </w:rPr>
      </w:pPr>
      <w:r>
        <w:rPr>
          <w:rFonts w:eastAsia="仿宋_GB2312"/>
          <w:sz w:val="32"/>
          <w:szCs w:val="32"/>
        </w:rPr>
        <w:t>从逐月的水质数据看，吴村断面2016</w:t>
      </w:r>
      <w:r>
        <w:rPr>
          <w:rFonts w:hint="eastAsia" w:eastAsia="仿宋_GB2312"/>
          <w:sz w:val="32"/>
          <w:szCs w:val="32"/>
        </w:rPr>
        <w:t>—</w:t>
      </w:r>
      <w:r>
        <w:rPr>
          <w:rFonts w:eastAsia="仿宋_GB2312"/>
          <w:sz w:val="32"/>
          <w:szCs w:val="32"/>
        </w:rPr>
        <w:t>2018年水质达标率分别为0%、0%、58.3%；大套桥断面2016</w:t>
      </w:r>
      <w:r>
        <w:rPr>
          <w:rFonts w:hint="eastAsia" w:eastAsia="仿宋_GB2312"/>
          <w:sz w:val="32"/>
          <w:szCs w:val="32"/>
        </w:rPr>
        <w:t>—</w:t>
      </w:r>
      <w:r>
        <w:rPr>
          <w:rFonts w:eastAsia="仿宋_GB2312"/>
          <w:sz w:val="32"/>
          <w:szCs w:val="32"/>
        </w:rPr>
        <w:t>2018年水质达标率分别为9.1%、41.7%、41.7%，断面达标率逐年上升。2018年1</w:t>
      </w:r>
      <w:r>
        <w:rPr>
          <w:rFonts w:hint="eastAsia" w:eastAsia="仿宋_GB2312"/>
          <w:sz w:val="32"/>
          <w:szCs w:val="32"/>
        </w:rPr>
        <w:t>—</w:t>
      </w:r>
      <w:r>
        <w:rPr>
          <w:rFonts w:eastAsia="仿宋_GB2312"/>
          <w:sz w:val="32"/>
          <w:szCs w:val="32"/>
        </w:rPr>
        <w:t>8月，吴村、大套桥水质达标率分别为25%和37.5%，断面达标率均有所下降，水质稍有变差趋势。主要污染物浓度逐月变化情况见图5</w:t>
      </w:r>
      <w:r>
        <w:rPr>
          <w:rFonts w:hint="eastAsia" w:eastAsia="仿宋_GB2312"/>
          <w:sz w:val="32"/>
          <w:szCs w:val="32"/>
        </w:rPr>
        <w:t>-</w:t>
      </w:r>
      <w:r>
        <w:rPr>
          <w:rFonts w:eastAsia="仿宋_GB2312"/>
          <w:sz w:val="32"/>
          <w:szCs w:val="32"/>
        </w:rPr>
        <w:t>6至图5</w:t>
      </w:r>
      <w:r>
        <w:rPr>
          <w:rFonts w:hint="eastAsia" w:eastAsia="仿宋_GB2312"/>
          <w:sz w:val="32"/>
          <w:szCs w:val="32"/>
        </w:rPr>
        <w:t>-</w:t>
      </w:r>
      <w:r>
        <w:rPr>
          <w:rFonts w:eastAsia="仿宋_GB2312"/>
          <w:sz w:val="32"/>
          <w:szCs w:val="32"/>
        </w:rPr>
        <w:t>10。</w:t>
      </w:r>
    </w:p>
    <w:p>
      <w:pPr>
        <w:snapToGrid w:val="0"/>
        <w:spacing w:line="240" w:lineRule="auto"/>
        <w:ind w:firstLine="0" w:firstLineChars="0"/>
        <w:jc w:val="center"/>
        <w:rPr>
          <w:szCs w:val="21"/>
        </w:rPr>
      </w:pPr>
      <w:r>
        <w:drawing>
          <wp:inline distT="0" distB="0" distL="114300" distR="114300">
            <wp:extent cx="5553075" cy="2811780"/>
            <wp:effectExtent l="0" t="0" r="9525" b="7620"/>
            <wp:docPr id="5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3"/>
                    <pic:cNvPicPr>
                      <a:picLocks noChangeAspect="1"/>
                    </pic:cNvPicPr>
                  </pic:nvPicPr>
                  <pic:blipFill>
                    <a:blip r:embed="rId31"/>
                    <a:stretch>
                      <a:fillRect/>
                    </a:stretch>
                  </pic:blipFill>
                  <pic:spPr>
                    <a:xfrm>
                      <a:off x="0" y="0"/>
                      <a:ext cx="5553075" cy="2811780"/>
                    </a:xfrm>
                    <a:prstGeom prst="rect">
                      <a:avLst/>
                    </a:prstGeom>
                    <a:noFill/>
                    <a:ln w="9525">
                      <a:noFill/>
                    </a:ln>
                  </pic:spPr>
                </pic:pic>
              </a:graphicData>
            </a:graphic>
          </wp:inline>
        </w:drawing>
      </w:r>
    </w:p>
    <w:p>
      <w:pPr>
        <w:snapToGrid w:val="0"/>
        <w:spacing w:before="97" w:beforeLines="30" w:after="163" w:afterLines="50" w:line="240" w:lineRule="auto"/>
        <w:ind w:firstLine="0" w:firstLineChars="0"/>
        <w:jc w:val="center"/>
        <w:rPr>
          <w:rFonts w:eastAsia="仿宋_GB2312"/>
          <w:b/>
        </w:rPr>
      </w:pPr>
      <w:r>
        <w:rPr>
          <w:rFonts w:eastAsia="仿宋_GB2312"/>
          <w:b/>
        </w:rPr>
        <w:t>图</w:t>
      </w:r>
      <w:r>
        <w:rPr>
          <w:rFonts w:eastAsia="仿宋_GB2312"/>
          <w:b/>
          <w:szCs w:val="24"/>
        </w:rPr>
        <w:t>5</w:t>
      </w:r>
      <w:r>
        <w:rPr>
          <w:rFonts w:hint="eastAsia" w:eastAsia="仿宋_GB2312"/>
          <w:szCs w:val="24"/>
        </w:rPr>
        <w:t>-</w:t>
      </w:r>
      <w:r>
        <w:rPr>
          <w:rFonts w:eastAsia="仿宋_GB2312"/>
          <w:b/>
          <w:szCs w:val="24"/>
        </w:rPr>
        <w:t>6</w:t>
      </w:r>
      <w:r>
        <w:rPr>
          <w:rFonts w:hint="eastAsia" w:eastAsia="仿宋_GB2312"/>
          <w:b/>
        </w:rPr>
        <w:t>　</w:t>
      </w:r>
      <w:r>
        <w:rPr>
          <w:rFonts w:eastAsia="仿宋_GB2312"/>
          <w:b/>
        </w:rPr>
        <w:t>吴村、大套桥断面氨氮浓度逐月变化</w:t>
      </w:r>
    </w:p>
    <w:p>
      <w:pPr>
        <w:snapToGrid w:val="0"/>
        <w:spacing w:line="240" w:lineRule="auto"/>
        <w:ind w:firstLine="0" w:firstLineChars="0"/>
        <w:jc w:val="center"/>
        <w:rPr>
          <w:szCs w:val="21"/>
        </w:rPr>
      </w:pPr>
      <w:r>
        <w:drawing>
          <wp:inline distT="0" distB="0" distL="114300" distR="114300">
            <wp:extent cx="5488305" cy="2433320"/>
            <wp:effectExtent l="0" t="0" r="17145" b="5080"/>
            <wp:docPr id="5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4"/>
                    <pic:cNvPicPr>
                      <a:picLocks noChangeAspect="1"/>
                    </pic:cNvPicPr>
                  </pic:nvPicPr>
                  <pic:blipFill>
                    <a:blip r:embed="rId32"/>
                    <a:stretch>
                      <a:fillRect/>
                    </a:stretch>
                  </pic:blipFill>
                  <pic:spPr>
                    <a:xfrm>
                      <a:off x="0" y="0"/>
                      <a:ext cx="5488305" cy="2433320"/>
                    </a:xfrm>
                    <a:prstGeom prst="rect">
                      <a:avLst/>
                    </a:prstGeom>
                    <a:noFill/>
                    <a:ln w="9525">
                      <a:noFill/>
                    </a:ln>
                  </pic:spPr>
                </pic:pic>
              </a:graphicData>
            </a:graphic>
          </wp:inline>
        </w:drawing>
      </w:r>
    </w:p>
    <w:p>
      <w:pPr>
        <w:snapToGrid w:val="0"/>
        <w:spacing w:before="163" w:beforeLines="50" w:after="163" w:afterLines="50" w:line="240" w:lineRule="auto"/>
        <w:ind w:firstLine="0" w:firstLineChars="0"/>
        <w:jc w:val="center"/>
        <w:rPr>
          <w:rFonts w:eastAsia="仿宋_GB2312"/>
          <w:b/>
        </w:rPr>
      </w:pPr>
      <w:r>
        <w:rPr>
          <w:rFonts w:eastAsia="仿宋_GB2312"/>
          <w:b/>
        </w:rPr>
        <w:t>图5</w:t>
      </w:r>
      <w:r>
        <w:rPr>
          <w:rFonts w:hint="eastAsia" w:eastAsia="仿宋_GB2312"/>
          <w:szCs w:val="24"/>
        </w:rPr>
        <w:t>-</w:t>
      </w:r>
      <w:r>
        <w:rPr>
          <w:rFonts w:eastAsia="仿宋_GB2312"/>
          <w:b/>
        </w:rPr>
        <w:t>7</w:t>
      </w:r>
      <w:r>
        <w:rPr>
          <w:rFonts w:hint="eastAsia" w:eastAsia="仿宋_GB2312"/>
          <w:b/>
        </w:rPr>
        <w:t>　</w:t>
      </w:r>
      <w:r>
        <w:rPr>
          <w:rFonts w:eastAsia="仿宋_GB2312"/>
          <w:b/>
        </w:rPr>
        <w:t>吴村、大套桥断面总磷浓度逐月变化</w:t>
      </w:r>
    </w:p>
    <w:p>
      <w:pPr>
        <w:snapToGrid w:val="0"/>
        <w:spacing w:line="240" w:lineRule="auto"/>
        <w:ind w:firstLine="0" w:firstLineChars="0"/>
        <w:jc w:val="center"/>
        <w:rPr>
          <w:szCs w:val="21"/>
        </w:rPr>
      </w:pPr>
      <w:r>
        <w:drawing>
          <wp:inline distT="0" distB="0" distL="114300" distR="114300">
            <wp:extent cx="5468620" cy="2433320"/>
            <wp:effectExtent l="0" t="0" r="17780" b="5080"/>
            <wp:docPr id="5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5"/>
                    <pic:cNvPicPr>
                      <a:picLocks noChangeAspect="1"/>
                    </pic:cNvPicPr>
                  </pic:nvPicPr>
                  <pic:blipFill>
                    <a:blip r:embed="rId33"/>
                    <a:stretch>
                      <a:fillRect/>
                    </a:stretch>
                  </pic:blipFill>
                  <pic:spPr>
                    <a:xfrm>
                      <a:off x="0" y="0"/>
                      <a:ext cx="5468620" cy="2433320"/>
                    </a:xfrm>
                    <a:prstGeom prst="rect">
                      <a:avLst/>
                    </a:prstGeom>
                    <a:noFill/>
                    <a:ln w="9525">
                      <a:noFill/>
                    </a:ln>
                  </pic:spPr>
                </pic:pic>
              </a:graphicData>
            </a:graphic>
          </wp:inline>
        </w:drawing>
      </w:r>
    </w:p>
    <w:p>
      <w:pPr>
        <w:snapToGrid w:val="0"/>
        <w:spacing w:before="163" w:beforeLines="50" w:after="163" w:afterLines="50" w:line="240" w:lineRule="auto"/>
        <w:ind w:firstLine="0" w:firstLineChars="0"/>
        <w:jc w:val="center"/>
        <w:rPr>
          <w:rFonts w:eastAsia="仿宋_GB2312"/>
          <w:b/>
        </w:rPr>
      </w:pPr>
      <w:r>
        <w:rPr>
          <w:rFonts w:eastAsia="仿宋_GB2312"/>
          <w:b/>
        </w:rPr>
        <w:t>图5</w:t>
      </w:r>
      <w:r>
        <w:rPr>
          <w:rFonts w:hint="eastAsia" w:eastAsia="仿宋_GB2312"/>
          <w:szCs w:val="24"/>
        </w:rPr>
        <w:t>-</w:t>
      </w:r>
      <w:r>
        <w:rPr>
          <w:rFonts w:eastAsia="仿宋_GB2312"/>
          <w:b/>
        </w:rPr>
        <w:t>8</w:t>
      </w:r>
      <w:r>
        <w:rPr>
          <w:rFonts w:hint="eastAsia" w:eastAsia="仿宋_GB2312"/>
          <w:b/>
        </w:rPr>
        <w:t>　</w:t>
      </w:r>
      <w:r>
        <w:rPr>
          <w:rFonts w:eastAsia="仿宋_GB2312"/>
          <w:b/>
        </w:rPr>
        <w:t>吴村、大套桥断面化学需氧量浓度逐月变化</w:t>
      </w:r>
    </w:p>
    <w:p>
      <w:pPr>
        <w:snapToGrid w:val="0"/>
        <w:spacing w:line="240" w:lineRule="auto"/>
        <w:ind w:firstLine="0" w:firstLineChars="0"/>
        <w:jc w:val="center"/>
        <w:rPr>
          <w:szCs w:val="21"/>
        </w:rPr>
      </w:pPr>
      <w:r>
        <w:drawing>
          <wp:inline distT="0" distB="0" distL="114300" distR="114300">
            <wp:extent cx="5455920" cy="2274570"/>
            <wp:effectExtent l="0" t="0" r="11430" b="11430"/>
            <wp:docPr id="5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6"/>
                    <pic:cNvPicPr>
                      <a:picLocks noChangeAspect="1"/>
                    </pic:cNvPicPr>
                  </pic:nvPicPr>
                  <pic:blipFill>
                    <a:blip r:embed="rId34"/>
                    <a:stretch>
                      <a:fillRect/>
                    </a:stretch>
                  </pic:blipFill>
                  <pic:spPr>
                    <a:xfrm>
                      <a:off x="0" y="0"/>
                      <a:ext cx="5455920" cy="2274570"/>
                    </a:xfrm>
                    <a:prstGeom prst="rect">
                      <a:avLst/>
                    </a:prstGeom>
                    <a:noFill/>
                    <a:ln w="9525">
                      <a:noFill/>
                    </a:ln>
                  </pic:spPr>
                </pic:pic>
              </a:graphicData>
            </a:graphic>
          </wp:inline>
        </w:drawing>
      </w:r>
    </w:p>
    <w:p>
      <w:pPr>
        <w:snapToGrid w:val="0"/>
        <w:spacing w:before="163" w:beforeLines="50" w:after="163" w:afterLines="50" w:line="240" w:lineRule="auto"/>
        <w:ind w:firstLine="0" w:firstLineChars="0"/>
        <w:jc w:val="center"/>
        <w:rPr>
          <w:rFonts w:eastAsia="仿宋_GB2312"/>
          <w:b/>
        </w:rPr>
      </w:pPr>
      <w:r>
        <w:rPr>
          <w:rFonts w:eastAsia="仿宋_GB2312"/>
          <w:b/>
        </w:rPr>
        <w:t>图5</w:t>
      </w:r>
      <w:r>
        <w:rPr>
          <w:rFonts w:hint="eastAsia" w:eastAsia="仿宋_GB2312"/>
          <w:szCs w:val="24"/>
        </w:rPr>
        <w:t>-</w:t>
      </w:r>
      <w:r>
        <w:rPr>
          <w:rFonts w:eastAsia="仿宋_GB2312"/>
          <w:b/>
        </w:rPr>
        <w:t>9</w:t>
      </w:r>
      <w:r>
        <w:rPr>
          <w:rFonts w:hint="eastAsia" w:eastAsia="仿宋_GB2312"/>
          <w:b/>
        </w:rPr>
        <w:t>　</w:t>
      </w:r>
      <w:r>
        <w:rPr>
          <w:rFonts w:eastAsia="仿宋_GB2312"/>
          <w:b/>
        </w:rPr>
        <w:t>吴村、大套桥断面高锰酸盐指数浓度逐月变化</w:t>
      </w:r>
    </w:p>
    <w:p>
      <w:pPr>
        <w:snapToGrid w:val="0"/>
        <w:spacing w:line="240" w:lineRule="auto"/>
        <w:ind w:firstLine="0" w:firstLineChars="0"/>
        <w:jc w:val="center"/>
        <w:rPr>
          <w:rFonts w:eastAsia="仿宋_GB2312"/>
          <w:b/>
        </w:rPr>
      </w:pPr>
      <w:r>
        <w:drawing>
          <wp:inline distT="0" distB="0" distL="114300" distR="114300">
            <wp:extent cx="5448935" cy="2621280"/>
            <wp:effectExtent l="0" t="0" r="18415" b="7620"/>
            <wp:docPr id="5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7"/>
                    <pic:cNvPicPr>
                      <a:picLocks noChangeAspect="1"/>
                    </pic:cNvPicPr>
                  </pic:nvPicPr>
                  <pic:blipFill>
                    <a:blip r:embed="rId35"/>
                    <a:stretch>
                      <a:fillRect/>
                    </a:stretch>
                  </pic:blipFill>
                  <pic:spPr>
                    <a:xfrm>
                      <a:off x="0" y="0"/>
                      <a:ext cx="5448935" cy="2621280"/>
                    </a:xfrm>
                    <a:prstGeom prst="rect">
                      <a:avLst/>
                    </a:prstGeom>
                    <a:noFill/>
                    <a:ln w="9525">
                      <a:noFill/>
                    </a:ln>
                  </pic:spPr>
                </pic:pic>
              </a:graphicData>
            </a:graphic>
          </wp:inline>
        </w:drawing>
      </w:r>
    </w:p>
    <w:p>
      <w:pPr>
        <w:snapToGrid w:val="0"/>
        <w:spacing w:before="163" w:beforeLines="50" w:after="163" w:afterLines="50" w:line="240" w:lineRule="auto"/>
        <w:ind w:firstLine="0" w:firstLineChars="0"/>
        <w:jc w:val="center"/>
        <w:rPr>
          <w:rFonts w:eastAsia="仿宋_GB2312"/>
          <w:b/>
        </w:rPr>
      </w:pPr>
      <w:r>
        <w:rPr>
          <w:rFonts w:eastAsia="仿宋_GB2312"/>
          <w:b/>
        </w:rPr>
        <w:t>图5</w:t>
      </w:r>
      <w:r>
        <w:rPr>
          <w:rFonts w:hint="eastAsia" w:eastAsia="仿宋_GB2312"/>
          <w:szCs w:val="24"/>
        </w:rPr>
        <w:t>-</w:t>
      </w:r>
      <w:r>
        <w:rPr>
          <w:rFonts w:eastAsia="仿宋_GB2312"/>
          <w:b/>
        </w:rPr>
        <w:t>10</w:t>
      </w:r>
      <w:r>
        <w:rPr>
          <w:rFonts w:hint="eastAsia" w:eastAsia="仿宋_GB2312"/>
          <w:b/>
        </w:rPr>
        <w:t>　</w:t>
      </w:r>
      <w:r>
        <w:rPr>
          <w:rFonts w:eastAsia="仿宋_GB2312"/>
          <w:b/>
        </w:rPr>
        <w:t>吴村、大套桥断面生化需氧量浓度逐月变化</w:t>
      </w:r>
    </w:p>
    <w:p>
      <w:pPr>
        <w:pStyle w:val="3"/>
        <w:spacing w:line="590" w:lineRule="exact"/>
        <w:ind w:left="643" w:firstLine="0" w:firstLineChars="0"/>
        <w:rPr>
          <w:rFonts w:eastAsia="楷体_GB2312"/>
        </w:rPr>
      </w:pPr>
      <w:bookmarkStart w:id="1" w:name="_Toc23784090"/>
      <w:r>
        <w:rPr>
          <w:rFonts w:eastAsia="楷体_GB2312"/>
        </w:rPr>
        <w:t>5.3工程实施情况评估</w:t>
      </w:r>
      <w:bookmarkEnd w:id="1"/>
    </w:p>
    <w:p>
      <w:pPr>
        <w:pStyle w:val="4"/>
        <w:spacing w:line="590" w:lineRule="exact"/>
        <w:ind w:firstLine="643"/>
      </w:pPr>
      <w:bookmarkStart w:id="2" w:name="_Toc23784091"/>
      <w:r>
        <w:t>5.3.1已完成工程项目</w:t>
      </w:r>
      <w:bookmarkEnd w:id="2"/>
    </w:p>
    <w:p>
      <w:pPr>
        <w:adjustRightInd w:val="0"/>
        <w:snapToGrid w:val="0"/>
        <w:spacing w:line="590" w:lineRule="exact"/>
        <w:ind w:firstLine="640"/>
        <w:rPr>
          <w:rFonts w:eastAsia="仿宋_GB2312"/>
          <w:sz w:val="32"/>
          <w:szCs w:val="32"/>
        </w:rPr>
      </w:pPr>
      <w:r>
        <w:rPr>
          <w:rFonts w:eastAsia="仿宋_GB2312"/>
          <w:sz w:val="32"/>
          <w:szCs w:val="32"/>
        </w:rPr>
        <w:t>潮白河流域主要针对污染源治理、河流生态修复与保护和环境监管能力建设实施了相关工程，已完成22项工程，主要涵盖城镇污水处理设施建设与改造、城镇纳污管网建设与改造、农村污水处理设施建设以及河道清淤与人工湿地建设、环境监管能力建设等工程。具体项目清单见表5</w:t>
      </w:r>
      <w:r>
        <w:rPr>
          <w:rFonts w:hint="eastAsia" w:eastAsia="仿宋_GB2312"/>
          <w:sz w:val="32"/>
          <w:szCs w:val="32"/>
        </w:rPr>
        <w:t>-</w:t>
      </w:r>
      <w:r>
        <w:rPr>
          <w:rFonts w:eastAsia="仿宋_GB2312"/>
          <w:sz w:val="32"/>
          <w:szCs w:val="32"/>
        </w:rPr>
        <w:t>2。</w:t>
      </w:r>
    </w:p>
    <w:p>
      <w:pPr>
        <w:adjustRightInd w:val="0"/>
        <w:snapToGrid w:val="0"/>
        <w:spacing w:line="590" w:lineRule="exact"/>
        <w:ind w:firstLine="640"/>
        <w:rPr>
          <w:rFonts w:eastAsia="仿宋_GB2312"/>
          <w:sz w:val="32"/>
          <w:szCs w:val="32"/>
        </w:rPr>
      </w:pPr>
      <w:r>
        <w:rPr>
          <w:rFonts w:eastAsia="仿宋_GB2312"/>
          <w:sz w:val="32"/>
          <w:szCs w:val="32"/>
        </w:rPr>
        <w:t>（1）城镇污水处理设施建设与改造工程4项</w:t>
      </w:r>
    </w:p>
    <w:p>
      <w:pPr>
        <w:adjustRightInd w:val="0"/>
        <w:snapToGrid w:val="0"/>
        <w:spacing w:line="590" w:lineRule="exact"/>
        <w:ind w:firstLine="640"/>
        <w:rPr>
          <w:rFonts w:eastAsia="仿宋_GB2312"/>
          <w:sz w:val="32"/>
          <w:szCs w:val="32"/>
        </w:rPr>
      </w:pPr>
      <w:r>
        <w:rPr>
          <w:rFonts w:eastAsia="仿宋_GB2312"/>
          <w:sz w:val="32"/>
          <w:szCs w:val="32"/>
        </w:rPr>
        <w:t>城镇污水处理设施建设与改造包括燕郊污水处理厂5万吨扩容至10万吨，新建燕郊北5万吨污水处理厂，两污水处理厂出水达标京B标准；新建京榆旧路污水直排口及生态园污水直排口污水超磁临时处理工程，两处理工程处理规模共5万吨/日。</w:t>
      </w:r>
    </w:p>
    <w:p>
      <w:pPr>
        <w:adjustRightInd w:val="0"/>
        <w:snapToGrid w:val="0"/>
        <w:spacing w:line="590" w:lineRule="exact"/>
        <w:ind w:firstLine="640"/>
        <w:rPr>
          <w:rFonts w:eastAsia="仿宋_GB2312"/>
          <w:sz w:val="32"/>
          <w:szCs w:val="32"/>
        </w:rPr>
      </w:pPr>
      <w:r>
        <w:rPr>
          <w:rFonts w:eastAsia="仿宋_GB2312"/>
          <w:sz w:val="32"/>
          <w:szCs w:val="32"/>
        </w:rPr>
        <w:t>（2）城镇纳污管网建设与改造工程3项</w:t>
      </w:r>
    </w:p>
    <w:p>
      <w:pPr>
        <w:adjustRightInd w:val="0"/>
        <w:snapToGrid w:val="0"/>
        <w:spacing w:line="590" w:lineRule="exact"/>
        <w:ind w:firstLine="640"/>
        <w:rPr>
          <w:rFonts w:eastAsia="仿宋_GB2312"/>
          <w:sz w:val="32"/>
          <w:szCs w:val="32"/>
        </w:rPr>
      </w:pPr>
      <w:r>
        <w:rPr>
          <w:rFonts w:eastAsia="仿宋_GB2312"/>
          <w:sz w:val="32"/>
          <w:szCs w:val="32"/>
        </w:rPr>
        <w:t>城镇纳污管网建设与改造包括建设燕郊北部片区污水排水系统和燕郊西部片区污水排水系统，以及布设管道总长为54.3公里的蒋辛屯污水处理厂管网配套工程。</w:t>
      </w:r>
    </w:p>
    <w:p>
      <w:pPr>
        <w:adjustRightInd w:val="0"/>
        <w:snapToGrid w:val="0"/>
        <w:spacing w:line="590" w:lineRule="exact"/>
        <w:ind w:firstLine="640"/>
        <w:rPr>
          <w:rFonts w:eastAsia="仿宋_GB2312"/>
          <w:sz w:val="32"/>
          <w:szCs w:val="32"/>
        </w:rPr>
      </w:pPr>
      <w:r>
        <w:rPr>
          <w:rFonts w:eastAsia="仿宋_GB2312"/>
          <w:sz w:val="32"/>
          <w:szCs w:val="32"/>
        </w:rPr>
        <w:t>（3）农村污水处理设施建设工程5项</w:t>
      </w:r>
    </w:p>
    <w:p>
      <w:pPr>
        <w:adjustRightInd w:val="0"/>
        <w:snapToGrid w:val="0"/>
        <w:spacing w:line="590" w:lineRule="exact"/>
        <w:ind w:firstLine="640"/>
        <w:rPr>
          <w:rFonts w:eastAsia="仿宋_GB2312"/>
          <w:sz w:val="32"/>
          <w:szCs w:val="32"/>
        </w:rPr>
      </w:pPr>
      <w:r>
        <w:rPr>
          <w:rFonts w:eastAsia="仿宋_GB2312"/>
          <w:sz w:val="32"/>
          <w:szCs w:val="32"/>
        </w:rPr>
        <w:t>农村污水处理设施建设包括苍头村、王店子村、北吴村、杨簸箕村、程辛庄村农村生活污水处理工程，分别新建分散式污水处理设施216套、288套、544套、169套、211套。</w:t>
      </w:r>
    </w:p>
    <w:p>
      <w:pPr>
        <w:adjustRightInd w:val="0"/>
        <w:snapToGrid w:val="0"/>
        <w:spacing w:line="590" w:lineRule="exact"/>
        <w:ind w:firstLine="640"/>
        <w:rPr>
          <w:rFonts w:eastAsia="仿宋_GB2312"/>
          <w:sz w:val="32"/>
          <w:szCs w:val="32"/>
        </w:rPr>
      </w:pPr>
      <w:r>
        <w:rPr>
          <w:rFonts w:eastAsia="仿宋_GB2312"/>
          <w:sz w:val="32"/>
          <w:szCs w:val="32"/>
        </w:rPr>
        <w:t>（4）河道清淤与人工湿地建设工程4项</w:t>
      </w:r>
    </w:p>
    <w:p>
      <w:pPr>
        <w:adjustRightInd w:val="0"/>
        <w:snapToGrid w:val="0"/>
        <w:spacing w:line="590" w:lineRule="exact"/>
        <w:ind w:firstLine="640"/>
        <w:rPr>
          <w:rFonts w:eastAsia="仿宋_GB2312"/>
          <w:sz w:val="32"/>
          <w:szCs w:val="32"/>
        </w:rPr>
      </w:pPr>
      <w:r>
        <w:rPr>
          <w:rFonts w:eastAsia="仿宋_GB2312"/>
          <w:sz w:val="32"/>
          <w:szCs w:val="32"/>
        </w:rPr>
        <w:t>河道清淤与人工湿地建设包括潮白河干流、百家湾排干渠、田贾庄排干渠河道清淤工程和田贾庄表流湿地建设工程，共清淤8公里河段，建设占地2公顷的田贾庄表流湿地。</w:t>
      </w:r>
    </w:p>
    <w:p>
      <w:pPr>
        <w:adjustRightInd w:val="0"/>
        <w:snapToGrid w:val="0"/>
        <w:spacing w:line="590" w:lineRule="exact"/>
        <w:ind w:firstLine="640"/>
        <w:rPr>
          <w:rFonts w:eastAsia="仿宋_GB2312"/>
          <w:sz w:val="32"/>
          <w:szCs w:val="32"/>
        </w:rPr>
      </w:pPr>
      <w:r>
        <w:rPr>
          <w:rFonts w:eastAsia="仿宋_GB2312"/>
          <w:sz w:val="32"/>
          <w:szCs w:val="32"/>
        </w:rPr>
        <w:t>（5）环境监管能力建设工程6项</w:t>
      </w:r>
    </w:p>
    <w:p>
      <w:pPr>
        <w:adjustRightInd w:val="0"/>
        <w:snapToGrid w:val="0"/>
        <w:spacing w:line="590" w:lineRule="exact"/>
        <w:ind w:firstLine="640"/>
        <w:rPr>
          <w:rFonts w:eastAsia="仿宋_GB2312"/>
          <w:sz w:val="32"/>
          <w:szCs w:val="32"/>
        </w:rPr>
      </w:pPr>
      <w:r>
        <w:rPr>
          <w:rFonts w:eastAsia="仿宋_GB2312"/>
          <w:sz w:val="32"/>
          <w:szCs w:val="32"/>
        </w:rPr>
        <w:t>环境监管能力建设包括三河市、大厂县、香河县潮白河重点监测断面水质监测能力项目，三河市、大厂县、香河县水环境监管能力建设项目，主要为建设自动监测站，提高水环境监测、监察及信息化等装备、设备配备标准，达到国家相应的标准化建设要求。</w:t>
      </w:r>
    </w:p>
    <w:p>
      <w:pPr>
        <w:adjustRightInd w:val="0"/>
        <w:snapToGrid w:val="0"/>
        <w:spacing w:line="590" w:lineRule="exact"/>
        <w:ind w:firstLine="640"/>
        <w:rPr>
          <w:rFonts w:eastAsia="仿宋_GB2312"/>
          <w:sz w:val="32"/>
          <w:szCs w:val="32"/>
        </w:rPr>
        <w:sectPr>
          <w:footerReference r:id="rId3" w:type="default"/>
          <w:footerReference r:id="rId4" w:type="even"/>
          <w:pgSz w:w="11906" w:h="16838"/>
          <w:pgMar w:top="2098" w:right="1531" w:bottom="1474" w:left="1531" w:header="851" w:footer="851" w:gutter="0"/>
          <w:pgNumType w:start="63"/>
          <w:cols w:space="720" w:num="1"/>
          <w:docGrid w:type="lines" w:linePitch="326" w:charSpace="0"/>
        </w:sectPr>
      </w:pPr>
    </w:p>
    <w:p>
      <w:pPr>
        <w:ind w:firstLine="640"/>
        <w:jc w:val="center"/>
        <w:rPr>
          <w:rFonts w:ascii="黑体" w:hAnsi="黑体" w:eastAsia="黑体"/>
          <w:sz w:val="32"/>
          <w:szCs w:val="32"/>
        </w:rPr>
      </w:pPr>
      <w:r>
        <w:rPr>
          <w:rFonts w:ascii="黑体" w:hAnsi="黑体" w:eastAsia="黑体"/>
          <w:sz w:val="32"/>
          <w:szCs w:val="32"/>
        </w:rPr>
        <w:t>表5</w:t>
      </w:r>
      <w:r>
        <w:rPr>
          <w:rFonts w:hint="eastAsia" w:eastAsia="仿宋_GB2312"/>
          <w:sz w:val="32"/>
          <w:szCs w:val="32"/>
        </w:rPr>
        <w:t>-</w:t>
      </w:r>
      <w:r>
        <w:rPr>
          <w:rFonts w:ascii="黑体" w:hAnsi="黑体" w:eastAsia="黑体"/>
          <w:sz w:val="32"/>
          <w:szCs w:val="32"/>
        </w:rPr>
        <w:t>2</w:t>
      </w:r>
      <w:r>
        <w:rPr>
          <w:rFonts w:hint="eastAsia" w:ascii="黑体" w:hAnsi="黑体" w:eastAsia="黑体"/>
          <w:sz w:val="32"/>
          <w:szCs w:val="32"/>
        </w:rPr>
        <w:t>　</w:t>
      </w:r>
      <w:r>
        <w:rPr>
          <w:rFonts w:ascii="黑体" w:hAnsi="黑体" w:eastAsia="黑体"/>
          <w:sz w:val="32"/>
          <w:szCs w:val="32"/>
        </w:rPr>
        <w:t>已完成工程项目清单</w:t>
      </w:r>
    </w:p>
    <w:tbl>
      <w:tblPr>
        <w:tblStyle w:val="9"/>
        <w:tblW w:w="13269" w:type="dxa"/>
        <w:jc w:val="center"/>
        <w:tblInd w:w="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
      <w:tblGrid>
        <w:gridCol w:w="588"/>
        <w:gridCol w:w="668"/>
        <w:gridCol w:w="1153"/>
        <w:gridCol w:w="1227"/>
        <w:gridCol w:w="1097"/>
        <w:gridCol w:w="735"/>
        <w:gridCol w:w="1282"/>
        <w:gridCol w:w="3862"/>
        <w:gridCol w:w="1161"/>
        <w:gridCol w:w="842"/>
        <w:gridCol w:w="6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759" w:hRule="atLeast"/>
          <w:tblHeader/>
          <w:jc w:val="center"/>
        </w:trPr>
        <w:tc>
          <w:tcPr>
            <w:tcW w:w="588" w:type="dxa"/>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序号</w:t>
            </w:r>
          </w:p>
        </w:tc>
        <w:tc>
          <w:tcPr>
            <w:tcW w:w="668" w:type="dxa"/>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隶属</w:t>
            </w:r>
          </w:p>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关系</w:t>
            </w:r>
          </w:p>
        </w:tc>
        <w:tc>
          <w:tcPr>
            <w:tcW w:w="1153" w:type="dxa"/>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项目类型</w:t>
            </w:r>
          </w:p>
        </w:tc>
        <w:tc>
          <w:tcPr>
            <w:tcW w:w="1227" w:type="dxa"/>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项目名称</w:t>
            </w:r>
          </w:p>
        </w:tc>
        <w:tc>
          <w:tcPr>
            <w:tcW w:w="1097" w:type="dxa"/>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建设</w:t>
            </w:r>
          </w:p>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地点</w:t>
            </w:r>
          </w:p>
        </w:tc>
        <w:tc>
          <w:tcPr>
            <w:tcW w:w="735" w:type="dxa"/>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建设</w:t>
            </w:r>
          </w:p>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周期</w:t>
            </w:r>
          </w:p>
        </w:tc>
        <w:tc>
          <w:tcPr>
            <w:tcW w:w="1282" w:type="dxa"/>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承担单位</w:t>
            </w:r>
          </w:p>
        </w:tc>
        <w:tc>
          <w:tcPr>
            <w:tcW w:w="3862" w:type="dxa"/>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项目建设规模与内容</w:t>
            </w:r>
          </w:p>
        </w:tc>
        <w:tc>
          <w:tcPr>
            <w:tcW w:w="1161" w:type="dxa"/>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项目总投资</w:t>
            </w:r>
          </w:p>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（万元）</w:t>
            </w:r>
          </w:p>
        </w:tc>
        <w:tc>
          <w:tcPr>
            <w:tcW w:w="842" w:type="dxa"/>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关联</w:t>
            </w:r>
          </w:p>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水体</w:t>
            </w:r>
          </w:p>
        </w:tc>
        <w:tc>
          <w:tcPr>
            <w:tcW w:w="654" w:type="dxa"/>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396" w:hRule="atLeast"/>
          <w:jc w:val="center"/>
        </w:trPr>
        <w:tc>
          <w:tcPr>
            <w:tcW w:w="13269" w:type="dxa"/>
            <w:gridSpan w:val="11"/>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1</w:t>
            </w:r>
            <w:bookmarkStart w:id="3" w:name="_Hlk10139948"/>
            <w:r>
              <w:rPr>
                <w:rFonts w:hint="eastAsia" w:eastAsia="仿宋_GB2312"/>
                <w:sz w:val="32"/>
                <w:szCs w:val="32"/>
              </w:rPr>
              <w:t>-</w:t>
            </w:r>
            <w:r>
              <w:rPr>
                <w:rFonts w:eastAsia="仿宋_GB2312"/>
                <w:b/>
                <w:bCs/>
                <w:color w:val="000000"/>
                <w:kern w:val="0"/>
                <w:sz w:val="21"/>
                <w:szCs w:val="21"/>
              </w:rPr>
              <w:t>流域污染源治理类型项目</w:t>
            </w:r>
            <w:bookmarkEnd w:id="3"/>
            <w:r>
              <w:rPr>
                <w:rFonts w:eastAsia="仿宋_GB2312"/>
                <w:b/>
                <w:bCs/>
                <w:color w:val="000000"/>
                <w:kern w:val="0"/>
                <w:sz w:val="21"/>
                <w:szCs w:val="21"/>
              </w:rPr>
              <w:t>小计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177"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153"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污水处理厂及配套管网建设</w:t>
            </w:r>
          </w:p>
        </w:tc>
        <w:tc>
          <w:tcPr>
            <w:tcW w:w="122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燕郊第二污水处理厂升级改造工程</w:t>
            </w:r>
          </w:p>
        </w:tc>
        <w:tc>
          <w:tcPr>
            <w:tcW w:w="109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735" w:type="dxa"/>
            <w:vAlign w:val="center"/>
          </w:tcPr>
          <w:p>
            <w:pPr>
              <w:widowControl/>
              <w:snapToGrid w:val="0"/>
              <w:spacing w:line="280" w:lineRule="exact"/>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2017</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left"/>
              <w:rPr>
                <w:rFonts w:eastAsia="仿宋_GB2312"/>
                <w:color w:val="000000"/>
                <w:kern w:val="0"/>
                <w:sz w:val="21"/>
                <w:szCs w:val="21"/>
              </w:rPr>
            </w:pPr>
            <w:r>
              <w:rPr>
                <w:rFonts w:eastAsia="仿宋_GB2312"/>
                <w:color w:val="000000"/>
                <w:kern w:val="0"/>
                <w:sz w:val="21"/>
                <w:szCs w:val="21"/>
              </w:rPr>
              <w:t>三河市政府</w:t>
            </w:r>
          </w:p>
        </w:tc>
        <w:tc>
          <w:tcPr>
            <w:tcW w:w="3862" w:type="dxa"/>
            <w:vAlign w:val="center"/>
          </w:tcPr>
          <w:p>
            <w:pPr>
              <w:widowControl/>
              <w:snapToGrid w:val="0"/>
              <w:spacing w:line="280" w:lineRule="exact"/>
              <w:ind w:firstLine="0" w:firstLineChars="0"/>
              <w:jc w:val="left"/>
              <w:rPr>
                <w:rFonts w:hint="eastAsia" w:eastAsia="仿宋_GB2312"/>
                <w:color w:val="000000"/>
                <w:kern w:val="0"/>
                <w:sz w:val="21"/>
                <w:szCs w:val="21"/>
              </w:rPr>
            </w:pPr>
            <w:r>
              <w:rPr>
                <w:rFonts w:eastAsia="仿宋_GB2312"/>
                <w:color w:val="000000"/>
                <w:kern w:val="0"/>
                <w:sz w:val="21"/>
                <w:szCs w:val="21"/>
              </w:rPr>
              <w:t>5万吨提高到日处理10万吨，并使出水水质达到京B四类水标准，出水进入尾水净化湿地</w:t>
            </w:r>
            <w:r>
              <w:rPr>
                <w:rFonts w:hint="eastAsia" w:eastAsia="仿宋_GB2312"/>
                <w:color w:val="000000"/>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10444.0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750"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153"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污水处理厂及配套管网建设</w:t>
            </w:r>
          </w:p>
        </w:tc>
        <w:tc>
          <w:tcPr>
            <w:tcW w:w="122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燕郊北污水处理厂（即燕郊第四污水处理厂）建设工程</w:t>
            </w:r>
          </w:p>
        </w:tc>
        <w:tc>
          <w:tcPr>
            <w:tcW w:w="109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735" w:type="dxa"/>
            <w:vAlign w:val="center"/>
          </w:tcPr>
          <w:p>
            <w:pPr>
              <w:widowControl/>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left"/>
              <w:rPr>
                <w:rFonts w:eastAsia="仿宋_GB2312"/>
                <w:color w:val="000000"/>
                <w:kern w:val="0"/>
                <w:sz w:val="21"/>
                <w:szCs w:val="21"/>
              </w:rPr>
            </w:pPr>
            <w:r>
              <w:rPr>
                <w:rFonts w:eastAsia="仿宋_GB2312"/>
                <w:color w:val="000000"/>
                <w:kern w:val="0"/>
                <w:sz w:val="21"/>
                <w:szCs w:val="21"/>
              </w:rPr>
              <w:t>三河市政府</w:t>
            </w:r>
          </w:p>
        </w:tc>
        <w:tc>
          <w:tcPr>
            <w:tcW w:w="3862" w:type="dxa"/>
            <w:vAlign w:val="center"/>
          </w:tcPr>
          <w:p>
            <w:pPr>
              <w:widowControl/>
              <w:snapToGrid w:val="0"/>
              <w:spacing w:line="280" w:lineRule="exact"/>
              <w:ind w:firstLine="0" w:firstLineChars="0"/>
              <w:jc w:val="left"/>
              <w:rPr>
                <w:rFonts w:hint="eastAsia" w:eastAsia="仿宋_GB2312"/>
                <w:color w:val="000000"/>
                <w:kern w:val="0"/>
                <w:sz w:val="21"/>
                <w:szCs w:val="21"/>
              </w:rPr>
            </w:pPr>
            <w:r>
              <w:rPr>
                <w:rFonts w:eastAsia="仿宋_GB2312"/>
                <w:color w:val="000000"/>
                <w:kern w:val="0"/>
                <w:sz w:val="21"/>
                <w:szCs w:val="21"/>
              </w:rPr>
              <w:t>新建燕郊北污水处理厂，占地50亩，日处理能力5万吨，出水水质达到京B四类水标准，出水进入尾水净化湿地</w:t>
            </w:r>
            <w:r>
              <w:rPr>
                <w:rFonts w:hint="eastAsia" w:eastAsia="仿宋_GB2312"/>
                <w:color w:val="000000"/>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9556.0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121"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3</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153"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污水处理厂及配套管网建设</w:t>
            </w:r>
          </w:p>
        </w:tc>
        <w:tc>
          <w:tcPr>
            <w:tcW w:w="122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燕郊北部地区污水管网建设工程</w:t>
            </w:r>
          </w:p>
        </w:tc>
        <w:tc>
          <w:tcPr>
            <w:tcW w:w="109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735" w:type="dxa"/>
            <w:vAlign w:val="center"/>
          </w:tcPr>
          <w:p>
            <w:pPr>
              <w:widowControl/>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left"/>
              <w:rPr>
                <w:rFonts w:eastAsia="仿宋_GB2312"/>
                <w:color w:val="000000"/>
                <w:kern w:val="0"/>
                <w:sz w:val="21"/>
                <w:szCs w:val="21"/>
              </w:rPr>
            </w:pPr>
            <w:r>
              <w:rPr>
                <w:rFonts w:eastAsia="仿宋_GB2312"/>
                <w:color w:val="000000"/>
                <w:kern w:val="0"/>
                <w:sz w:val="21"/>
                <w:szCs w:val="21"/>
              </w:rPr>
              <w:t>三河市政府</w:t>
            </w:r>
          </w:p>
        </w:tc>
        <w:tc>
          <w:tcPr>
            <w:tcW w:w="3862" w:type="dxa"/>
            <w:vAlign w:val="center"/>
          </w:tcPr>
          <w:p>
            <w:pPr>
              <w:widowControl/>
              <w:snapToGrid w:val="0"/>
              <w:spacing w:line="280" w:lineRule="exact"/>
              <w:ind w:firstLine="0" w:firstLineChars="0"/>
              <w:jc w:val="left"/>
              <w:rPr>
                <w:rFonts w:hint="eastAsia" w:eastAsia="仿宋_GB2312"/>
                <w:color w:val="000000"/>
                <w:kern w:val="0"/>
                <w:sz w:val="21"/>
                <w:szCs w:val="21"/>
              </w:rPr>
            </w:pPr>
            <w:r>
              <w:rPr>
                <w:rFonts w:eastAsia="仿宋_GB2312"/>
                <w:color w:val="000000"/>
                <w:kern w:val="0"/>
                <w:sz w:val="21"/>
                <w:szCs w:val="21"/>
              </w:rPr>
              <w:t>建设燕郊北部片区污水排水系统</w:t>
            </w:r>
            <w:r>
              <w:rPr>
                <w:rFonts w:hint="eastAsia" w:eastAsia="仿宋_GB2312"/>
                <w:color w:val="000000"/>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28011.2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149"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4</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153"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污水处理厂及配套管网建设</w:t>
            </w:r>
          </w:p>
        </w:tc>
        <w:tc>
          <w:tcPr>
            <w:tcW w:w="122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燕郊西部地区污水管网建设工程</w:t>
            </w:r>
          </w:p>
        </w:tc>
        <w:tc>
          <w:tcPr>
            <w:tcW w:w="109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735" w:type="dxa"/>
            <w:vAlign w:val="center"/>
          </w:tcPr>
          <w:p>
            <w:pPr>
              <w:widowControl/>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left"/>
              <w:rPr>
                <w:rFonts w:eastAsia="仿宋_GB2312"/>
                <w:color w:val="000000"/>
                <w:kern w:val="0"/>
                <w:sz w:val="21"/>
                <w:szCs w:val="21"/>
              </w:rPr>
            </w:pPr>
            <w:r>
              <w:rPr>
                <w:rFonts w:eastAsia="仿宋_GB2312"/>
                <w:color w:val="000000"/>
                <w:kern w:val="0"/>
                <w:sz w:val="21"/>
                <w:szCs w:val="21"/>
              </w:rPr>
              <w:t>三河市政府</w:t>
            </w:r>
          </w:p>
        </w:tc>
        <w:tc>
          <w:tcPr>
            <w:tcW w:w="3862" w:type="dxa"/>
            <w:vAlign w:val="center"/>
          </w:tcPr>
          <w:p>
            <w:pPr>
              <w:widowControl/>
              <w:snapToGrid w:val="0"/>
              <w:spacing w:line="280" w:lineRule="exact"/>
              <w:ind w:firstLine="0" w:firstLineChars="0"/>
              <w:jc w:val="left"/>
              <w:rPr>
                <w:rFonts w:hint="eastAsia" w:eastAsia="仿宋_GB2312"/>
                <w:color w:val="000000"/>
                <w:kern w:val="0"/>
                <w:sz w:val="21"/>
                <w:szCs w:val="21"/>
              </w:rPr>
            </w:pPr>
            <w:r>
              <w:rPr>
                <w:rFonts w:eastAsia="仿宋_GB2312"/>
                <w:color w:val="000000"/>
                <w:kern w:val="0"/>
                <w:sz w:val="21"/>
                <w:szCs w:val="21"/>
              </w:rPr>
              <w:t>建设燕郊西部片区污水排水系统</w:t>
            </w:r>
            <w:r>
              <w:rPr>
                <w:rFonts w:hint="eastAsia" w:eastAsia="仿宋_GB2312"/>
                <w:color w:val="000000"/>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11325.6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687"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5</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153"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污水处理厂及配套管网建设</w:t>
            </w:r>
          </w:p>
        </w:tc>
        <w:tc>
          <w:tcPr>
            <w:tcW w:w="122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京榆旧路污水直排口临时处理工程</w:t>
            </w:r>
          </w:p>
        </w:tc>
        <w:tc>
          <w:tcPr>
            <w:tcW w:w="109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735" w:type="dxa"/>
            <w:vAlign w:val="center"/>
          </w:tcPr>
          <w:p>
            <w:pPr>
              <w:widowControl/>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left"/>
              <w:rPr>
                <w:rFonts w:eastAsia="仿宋_GB2312"/>
                <w:color w:val="000000"/>
                <w:kern w:val="0"/>
                <w:sz w:val="21"/>
                <w:szCs w:val="21"/>
              </w:rPr>
            </w:pPr>
            <w:r>
              <w:rPr>
                <w:rFonts w:eastAsia="仿宋_GB2312"/>
                <w:color w:val="000000"/>
                <w:kern w:val="0"/>
                <w:sz w:val="21"/>
                <w:szCs w:val="21"/>
              </w:rPr>
              <w:t>三河市政府</w:t>
            </w:r>
          </w:p>
        </w:tc>
        <w:tc>
          <w:tcPr>
            <w:tcW w:w="3862" w:type="dxa"/>
            <w:vAlign w:val="center"/>
          </w:tcPr>
          <w:p>
            <w:pPr>
              <w:widowControl/>
              <w:snapToGrid w:val="0"/>
              <w:spacing w:line="280" w:lineRule="exact"/>
              <w:ind w:firstLine="0" w:firstLineChars="0"/>
              <w:jc w:val="left"/>
              <w:rPr>
                <w:rFonts w:hint="eastAsia" w:eastAsia="仿宋_GB2312"/>
                <w:color w:val="000000"/>
                <w:kern w:val="0"/>
                <w:sz w:val="21"/>
                <w:szCs w:val="21"/>
              </w:rPr>
            </w:pPr>
            <w:r>
              <w:rPr>
                <w:rFonts w:eastAsia="仿宋_GB2312"/>
                <w:color w:val="000000"/>
                <w:kern w:val="0"/>
                <w:sz w:val="21"/>
                <w:szCs w:val="21"/>
              </w:rPr>
              <w:t>对京榆旧路污水直排口污水实施超磁处理。“排污暗涵→引水管→机械粗细格栅→提升泵池→提升泵→超磁分离污水处理设备→消力池→净化水排河”，日处理规模2万吨，预计处理三年</w:t>
            </w:r>
            <w:r>
              <w:rPr>
                <w:rFonts w:hint="eastAsia" w:eastAsia="仿宋_GB2312"/>
                <w:color w:val="000000"/>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4708.0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640"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6</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153"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污水处理厂及配套管网建设</w:t>
            </w:r>
          </w:p>
        </w:tc>
        <w:tc>
          <w:tcPr>
            <w:tcW w:w="122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生态园污水直排口临时处理工程</w:t>
            </w:r>
          </w:p>
        </w:tc>
        <w:tc>
          <w:tcPr>
            <w:tcW w:w="109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735"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2016</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862" w:type="dxa"/>
            <w:vAlign w:val="center"/>
          </w:tcPr>
          <w:p>
            <w:pPr>
              <w:widowControl/>
              <w:snapToGrid w:val="0"/>
              <w:spacing w:line="280" w:lineRule="exact"/>
              <w:ind w:firstLine="0" w:firstLineChars="0"/>
              <w:jc w:val="left"/>
              <w:rPr>
                <w:rFonts w:hint="eastAsia" w:eastAsia="仿宋_GB2312"/>
                <w:color w:val="000000"/>
                <w:kern w:val="0"/>
                <w:sz w:val="21"/>
                <w:szCs w:val="21"/>
              </w:rPr>
            </w:pPr>
            <w:r>
              <w:rPr>
                <w:rFonts w:eastAsia="仿宋_GB2312"/>
                <w:color w:val="000000"/>
                <w:kern w:val="0"/>
                <w:sz w:val="21"/>
                <w:szCs w:val="21"/>
              </w:rPr>
              <w:t>对生态园直排口污水实施超磁处理。“排污暗涵→引水管→机械粗细格栅→提升泵池→提升泵→超磁分离污水处理设备→消力池→净化水排河”，日处理规模3万吨，预计处理三年</w:t>
            </w:r>
            <w:r>
              <w:rPr>
                <w:rFonts w:hint="eastAsia" w:eastAsia="仿宋_GB2312"/>
                <w:color w:val="000000"/>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7062.0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982"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7</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153"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污水处理厂及配套管网建设</w:t>
            </w:r>
          </w:p>
        </w:tc>
        <w:tc>
          <w:tcPr>
            <w:tcW w:w="122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蒋辛屯污水处理厂管网配套工程</w:t>
            </w:r>
          </w:p>
        </w:tc>
        <w:tc>
          <w:tcPr>
            <w:tcW w:w="109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新兴产业示范区</w:t>
            </w:r>
          </w:p>
        </w:tc>
        <w:tc>
          <w:tcPr>
            <w:tcW w:w="735"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2017</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62" w:type="dxa"/>
            <w:vAlign w:val="center"/>
          </w:tcPr>
          <w:p>
            <w:pPr>
              <w:widowControl/>
              <w:snapToGrid w:val="0"/>
              <w:spacing w:line="280" w:lineRule="exact"/>
              <w:ind w:firstLine="0" w:firstLineChars="0"/>
              <w:rPr>
                <w:rFonts w:hint="eastAsia" w:eastAsia="仿宋_GB2312"/>
                <w:color w:val="000000"/>
                <w:kern w:val="0"/>
                <w:sz w:val="21"/>
                <w:szCs w:val="21"/>
              </w:rPr>
            </w:pPr>
            <w:r>
              <w:rPr>
                <w:rFonts w:eastAsia="仿宋_GB2312"/>
                <w:color w:val="000000"/>
                <w:kern w:val="0"/>
                <w:sz w:val="21"/>
                <w:szCs w:val="21"/>
              </w:rPr>
              <w:t>布设管道总长为54.3公里，其中利用现状管道9.6公里，新增管道44.7公里</w:t>
            </w:r>
            <w:r>
              <w:rPr>
                <w:rFonts w:hint="eastAsia" w:eastAsia="仿宋_GB2312"/>
                <w:color w:val="000000"/>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3467.7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百家湾排干渠</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023"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8</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153"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农村生活污染源治理</w:t>
            </w:r>
          </w:p>
        </w:tc>
        <w:tc>
          <w:tcPr>
            <w:tcW w:w="1227" w:type="dxa"/>
            <w:vAlign w:val="center"/>
          </w:tcPr>
          <w:p>
            <w:pPr>
              <w:widowControl/>
              <w:snapToGrid w:val="0"/>
              <w:spacing w:line="270" w:lineRule="exact"/>
              <w:ind w:firstLine="0" w:firstLineChars="0"/>
              <w:jc w:val="center"/>
              <w:rPr>
                <w:rFonts w:eastAsia="仿宋_GB2312"/>
                <w:kern w:val="0"/>
                <w:sz w:val="21"/>
                <w:szCs w:val="21"/>
              </w:rPr>
            </w:pPr>
            <w:r>
              <w:rPr>
                <w:rFonts w:eastAsia="仿宋_GB2312"/>
                <w:kern w:val="0"/>
                <w:sz w:val="21"/>
                <w:szCs w:val="21"/>
              </w:rPr>
              <w:t>苍头村农村生活污水处理工程</w:t>
            </w:r>
          </w:p>
        </w:tc>
        <w:tc>
          <w:tcPr>
            <w:tcW w:w="109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蒋辛屯镇</w:t>
            </w:r>
          </w:p>
        </w:tc>
        <w:tc>
          <w:tcPr>
            <w:tcW w:w="735"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2018</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62" w:type="dxa"/>
            <w:vAlign w:val="center"/>
          </w:tcPr>
          <w:p>
            <w:pPr>
              <w:widowControl/>
              <w:snapToGrid w:val="0"/>
              <w:spacing w:line="280" w:lineRule="exact"/>
              <w:ind w:firstLine="0" w:firstLineChars="0"/>
              <w:rPr>
                <w:rFonts w:hint="eastAsia" w:eastAsia="仿宋_GB2312"/>
                <w:kern w:val="0"/>
                <w:sz w:val="21"/>
                <w:szCs w:val="21"/>
              </w:rPr>
            </w:pPr>
            <w:r>
              <w:rPr>
                <w:rFonts w:eastAsia="仿宋_GB2312"/>
                <w:kern w:val="0"/>
                <w:sz w:val="21"/>
                <w:szCs w:val="21"/>
              </w:rPr>
              <w:t>新建分散式污水处理设施216套</w:t>
            </w:r>
            <w:r>
              <w:rPr>
                <w:rFonts w:hint="eastAsia" w:eastAsia="仿宋_GB2312"/>
                <w:kern w:val="0"/>
                <w:sz w:val="21"/>
                <w:szCs w:val="21"/>
              </w:rPr>
              <w:t>。</w:t>
            </w:r>
          </w:p>
        </w:tc>
        <w:tc>
          <w:tcPr>
            <w:tcW w:w="1161"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 xml:space="preserve">432.0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995"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9</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153"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农村生活污染源治理</w:t>
            </w:r>
          </w:p>
        </w:tc>
        <w:tc>
          <w:tcPr>
            <w:tcW w:w="1227" w:type="dxa"/>
            <w:vAlign w:val="center"/>
          </w:tcPr>
          <w:p>
            <w:pPr>
              <w:widowControl/>
              <w:snapToGrid w:val="0"/>
              <w:spacing w:line="270" w:lineRule="exact"/>
              <w:ind w:firstLine="0" w:firstLineChars="0"/>
              <w:jc w:val="center"/>
              <w:rPr>
                <w:rFonts w:eastAsia="仿宋_GB2312"/>
                <w:kern w:val="0"/>
                <w:sz w:val="21"/>
                <w:szCs w:val="21"/>
              </w:rPr>
            </w:pPr>
            <w:r>
              <w:rPr>
                <w:rFonts w:eastAsia="仿宋_GB2312"/>
                <w:kern w:val="0"/>
                <w:sz w:val="21"/>
                <w:szCs w:val="21"/>
              </w:rPr>
              <w:t>王店子村农村生活污水处理工程</w:t>
            </w:r>
          </w:p>
        </w:tc>
        <w:tc>
          <w:tcPr>
            <w:tcW w:w="109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蒋辛屯镇</w:t>
            </w:r>
          </w:p>
        </w:tc>
        <w:tc>
          <w:tcPr>
            <w:tcW w:w="735"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2018</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62" w:type="dxa"/>
            <w:vAlign w:val="center"/>
          </w:tcPr>
          <w:p>
            <w:pPr>
              <w:widowControl/>
              <w:snapToGrid w:val="0"/>
              <w:spacing w:line="280" w:lineRule="exact"/>
              <w:ind w:firstLine="0" w:firstLineChars="0"/>
              <w:rPr>
                <w:rFonts w:hint="eastAsia" w:eastAsia="仿宋_GB2312"/>
                <w:kern w:val="0"/>
                <w:sz w:val="21"/>
                <w:szCs w:val="21"/>
              </w:rPr>
            </w:pPr>
            <w:r>
              <w:rPr>
                <w:rFonts w:eastAsia="仿宋_GB2312"/>
                <w:kern w:val="0"/>
                <w:sz w:val="21"/>
                <w:szCs w:val="21"/>
              </w:rPr>
              <w:t>新建分散式污水处理设施288套</w:t>
            </w:r>
            <w:r>
              <w:rPr>
                <w:rFonts w:hint="eastAsia" w:eastAsia="仿宋_GB2312"/>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576.0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066"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10</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153"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农村生活污染源治理</w:t>
            </w:r>
          </w:p>
        </w:tc>
        <w:tc>
          <w:tcPr>
            <w:tcW w:w="1227" w:type="dxa"/>
            <w:vAlign w:val="center"/>
          </w:tcPr>
          <w:p>
            <w:pPr>
              <w:widowControl/>
              <w:snapToGrid w:val="0"/>
              <w:spacing w:line="270" w:lineRule="exact"/>
              <w:ind w:firstLine="0" w:firstLineChars="0"/>
              <w:jc w:val="center"/>
              <w:rPr>
                <w:rFonts w:eastAsia="仿宋_GB2312"/>
                <w:kern w:val="0"/>
                <w:sz w:val="21"/>
                <w:szCs w:val="21"/>
              </w:rPr>
            </w:pPr>
            <w:r>
              <w:rPr>
                <w:rFonts w:eastAsia="仿宋_GB2312"/>
                <w:kern w:val="0"/>
                <w:sz w:val="21"/>
                <w:szCs w:val="21"/>
              </w:rPr>
              <w:t>北吴村农村生活污水处理工程</w:t>
            </w:r>
          </w:p>
        </w:tc>
        <w:tc>
          <w:tcPr>
            <w:tcW w:w="109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蒋辛屯镇</w:t>
            </w:r>
          </w:p>
        </w:tc>
        <w:tc>
          <w:tcPr>
            <w:tcW w:w="735"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2018</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62" w:type="dxa"/>
            <w:vAlign w:val="center"/>
          </w:tcPr>
          <w:p>
            <w:pPr>
              <w:widowControl/>
              <w:snapToGrid w:val="0"/>
              <w:spacing w:line="280" w:lineRule="exact"/>
              <w:ind w:firstLine="0" w:firstLineChars="0"/>
              <w:rPr>
                <w:rFonts w:hint="eastAsia" w:eastAsia="仿宋_GB2312"/>
                <w:kern w:val="0"/>
                <w:sz w:val="21"/>
                <w:szCs w:val="21"/>
              </w:rPr>
            </w:pPr>
            <w:r>
              <w:rPr>
                <w:rFonts w:eastAsia="仿宋_GB2312"/>
                <w:kern w:val="0"/>
                <w:sz w:val="21"/>
                <w:szCs w:val="21"/>
              </w:rPr>
              <w:t>新建分散式污水处理设施544套</w:t>
            </w:r>
            <w:r>
              <w:rPr>
                <w:rFonts w:hint="eastAsia" w:eastAsia="仿宋_GB2312"/>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1088.0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080"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11</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153"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农村生活污染源治理</w:t>
            </w:r>
          </w:p>
        </w:tc>
        <w:tc>
          <w:tcPr>
            <w:tcW w:w="1227" w:type="dxa"/>
            <w:vAlign w:val="center"/>
          </w:tcPr>
          <w:p>
            <w:pPr>
              <w:widowControl/>
              <w:snapToGrid w:val="0"/>
              <w:spacing w:line="270" w:lineRule="exact"/>
              <w:ind w:firstLine="0" w:firstLineChars="0"/>
              <w:jc w:val="center"/>
              <w:rPr>
                <w:rFonts w:eastAsia="仿宋_GB2312"/>
                <w:kern w:val="0"/>
                <w:sz w:val="21"/>
                <w:szCs w:val="21"/>
              </w:rPr>
            </w:pPr>
            <w:r>
              <w:rPr>
                <w:rFonts w:eastAsia="仿宋_GB2312"/>
                <w:kern w:val="0"/>
                <w:sz w:val="21"/>
                <w:szCs w:val="21"/>
              </w:rPr>
              <w:t>杨簸箕村农村生活污水处理工程</w:t>
            </w:r>
          </w:p>
        </w:tc>
        <w:tc>
          <w:tcPr>
            <w:tcW w:w="109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蒋辛屯镇</w:t>
            </w:r>
          </w:p>
        </w:tc>
        <w:tc>
          <w:tcPr>
            <w:tcW w:w="735"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2018</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62" w:type="dxa"/>
            <w:vAlign w:val="center"/>
          </w:tcPr>
          <w:p>
            <w:pPr>
              <w:widowControl/>
              <w:snapToGrid w:val="0"/>
              <w:spacing w:line="280" w:lineRule="exact"/>
              <w:ind w:firstLine="0" w:firstLineChars="0"/>
              <w:rPr>
                <w:rFonts w:hint="eastAsia" w:eastAsia="仿宋_GB2312"/>
                <w:kern w:val="0"/>
                <w:sz w:val="21"/>
                <w:szCs w:val="21"/>
              </w:rPr>
            </w:pPr>
            <w:r>
              <w:rPr>
                <w:rFonts w:eastAsia="仿宋_GB2312"/>
                <w:kern w:val="0"/>
                <w:sz w:val="21"/>
                <w:szCs w:val="21"/>
              </w:rPr>
              <w:t>新建分散式污水处理设施169套</w:t>
            </w:r>
            <w:r>
              <w:rPr>
                <w:rFonts w:hint="eastAsia" w:eastAsia="仿宋_GB2312"/>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338.0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108"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12</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153"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农村生活污染源治理</w:t>
            </w:r>
          </w:p>
        </w:tc>
        <w:tc>
          <w:tcPr>
            <w:tcW w:w="1227" w:type="dxa"/>
            <w:vAlign w:val="center"/>
          </w:tcPr>
          <w:p>
            <w:pPr>
              <w:widowControl/>
              <w:snapToGrid w:val="0"/>
              <w:spacing w:line="270" w:lineRule="exact"/>
              <w:ind w:firstLine="0" w:firstLineChars="0"/>
              <w:jc w:val="center"/>
              <w:rPr>
                <w:rFonts w:eastAsia="仿宋_GB2312"/>
                <w:kern w:val="0"/>
                <w:sz w:val="21"/>
                <w:szCs w:val="21"/>
              </w:rPr>
            </w:pPr>
            <w:r>
              <w:rPr>
                <w:rFonts w:eastAsia="仿宋_GB2312"/>
                <w:kern w:val="0"/>
                <w:sz w:val="21"/>
                <w:szCs w:val="21"/>
              </w:rPr>
              <w:t>程辛庄村农村生活污水处理工程</w:t>
            </w:r>
          </w:p>
        </w:tc>
        <w:tc>
          <w:tcPr>
            <w:tcW w:w="109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淑阳镇</w:t>
            </w:r>
          </w:p>
        </w:tc>
        <w:tc>
          <w:tcPr>
            <w:tcW w:w="735"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2018</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62" w:type="dxa"/>
            <w:vAlign w:val="center"/>
          </w:tcPr>
          <w:p>
            <w:pPr>
              <w:widowControl/>
              <w:snapToGrid w:val="0"/>
              <w:spacing w:line="280" w:lineRule="exact"/>
              <w:ind w:firstLine="0" w:firstLineChars="0"/>
              <w:rPr>
                <w:rFonts w:hint="eastAsia" w:eastAsia="仿宋_GB2312"/>
                <w:kern w:val="0"/>
                <w:sz w:val="21"/>
                <w:szCs w:val="21"/>
              </w:rPr>
            </w:pPr>
            <w:r>
              <w:rPr>
                <w:rFonts w:eastAsia="仿宋_GB2312"/>
                <w:kern w:val="0"/>
                <w:sz w:val="21"/>
                <w:szCs w:val="21"/>
              </w:rPr>
              <w:t>新建分散式污水处理设施211套</w:t>
            </w:r>
            <w:r>
              <w:rPr>
                <w:rFonts w:hint="eastAsia" w:eastAsia="仿宋_GB2312"/>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422.0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437" w:hRule="atLeast"/>
          <w:jc w:val="center"/>
        </w:trPr>
        <w:tc>
          <w:tcPr>
            <w:tcW w:w="13269" w:type="dxa"/>
            <w:gridSpan w:val="11"/>
            <w:vAlign w:val="center"/>
          </w:tcPr>
          <w:p>
            <w:pPr>
              <w:widowControl/>
              <w:snapToGrid w:val="0"/>
              <w:spacing w:line="27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2-</w:t>
            </w:r>
            <w:bookmarkStart w:id="4" w:name="_Hlk10140636"/>
            <w:r>
              <w:rPr>
                <w:rFonts w:eastAsia="仿宋_GB2312"/>
                <w:b/>
                <w:bCs/>
                <w:color w:val="000000"/>
                <w:kern w:val="0"/>
                <w:sz w:val="21"/>
                <w:szCs w:val="21"/>
              </w:rPr>
              <w:t>流域生态修复与保护类型项目</w:t>
            </w:r>
            <w:bookmarkEnd w:id="4"/>
            <w:r>
              <w:rPr>
                <w:rFonts w:eastAsia="仿宋_GB2312"/>
                <w:b/>
                <w:bCs/>
                <w:color w:val="000000"/>
                <w:kern w:val="0"/>
                <w:sz w:val="21"/>
                <w:szCs w:val="21"/>
              </w:rPr>
              <w:t>小计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745"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153"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河道综合整治</w:t>
            </w:r>
          </w:p>
        </w:tc>
        <w:tc>
          <w:tcPr>
            <w:tcW w:w="122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潮白河干流清淤工程</w:t>
            </w:r>
          </w:p>
        </w:tc>
        <w:tc>
          <w:tcPr>
            <w:tcW w:w="109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735"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2016</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862" w:type="dxa"/>
            <w:vAlign w:val="center"/>
          </w:tcPr>
          <w:p>
            <w:pPr>
              <w:widowControl/>
              <w:snapToGrid w:val="0"/>
              <w:spacing w:line="280" w:lineRule="exact"/>
              <w:ind w:firstLine="0" w:firstLineChars="0"/>
              <w:rPr>
                <w:rFonts w:hint="eastAsia" w:eastAsia="仿宋_GB2312"/>
                <w:color w:val="000000"/>
                <w:kern w:val="0"/>
                <w:sz w:val="21"/>
                <w:szCs w:val="21"/>
              </w:rPr>
            </w:pPr>
            <w:r>
              <w:rPr>
                <w:rFonts w:eastAsia="仿宋_GB2312"/>
                <w:color w:val="000000"/>
                <w:kern w:val="0"/>
                <w:sz w:val="21"/>
                <w:szCs w:val="21"/>
              </w:rPr>
              <w:t>针对燕郊开发区境内潮白河760米干流河道，清淤2万立方米</w:t>
            </w:r>
            <w:r>
              <w:rPr>
                <w:rFonts w:hint="eastAsia" w:eastAsia="仿宋_GB2312"/>
                <w:color w:val="000000"/>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2000.0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052"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153"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河道综合整治</w:t>
            </w:r>
          </w:p>
        </w:tc>
        <w:tc>
          <w:tcPr>
            <w:tcW w:w="122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百家湾排干渠河道清淤工程</w:t>
            </w:r>
          </w:p>
        </w:tc>
        <w:tc>
          <w:tcPr>
            <w:tcW w:w="109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新兴产业示范区</w:t>
            </w:r>
          </w:p>
        </w:tc>
        <w:tc>
          <w:tcPr>
            <w:tcW w:w="735"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2017</w:t>
            </w:r>
            <w:r>
              <w:rPr>
                <w:rFonts w:hint="eastAsia" w:eastAsia="仿宋_GB2312" w:cs="Times New Roman"/>
                <w:color w:val="000000"/>
                <w:kern w:val="0"/>
                <w:sz w:val="21"/>
                <w:szCs w:val="21"/>
              </w:rPr>
              <w:t>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62" w:type="dxa"/>
            <w:vAlign w:val="center"/>
          </w:tcPr>
          <w:p>
            <w:pPr>
              <w:widowControl/>
              <w:snapToGrid w:val="0"/>
              <w:spacing w:line="280" w:lineRule="exact"/>
              <w:ind w:firstLine="0" w:firstLineChars="0"/>
              <w:rPr>
                <w:rFonts w:hint="eastAsia" w:eastAsia="仿宋_GB2312"/>
                <w:color w:val="000000"/>
                <w:kern w:val="0"/>
                <w:sz w:val="21"/>
                <w:szCs w:val="21"/>
              </w:rPr>
            </w:pPr>
            <w:r>
              <w:rPr>
                <w:rFonts w:eastAsia="仿宋_GB2312"/>
                <w:color w:val="000000"/>
                <w:kern w:val="0"/>
                <w:sz w:val="21"/>
                <w:szCs w:val="21"/>
              </w:rPr>
              <w:t>针对百家湾排干渠清淤3.4公里，清淤量预计为2380立方米</w:t>
            </w:r>
            <w:r>
              <w:rPr>
                <w:rFonts w:hint="eastAsia" w:eastAsia="仿宋_GB2312"/>
                <w:color w:val="000000"/>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238.0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百家湾排干渠</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051"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3</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153"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河道综合整治</w:t>
            </w:r>
          </w:p>
        </w:tc>
        <w:tc>
          <w:tcPr>
            <w:tcW w:w="122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田贾庄排干渠河道清淤工程</w:t>
            </w:r>
          </w:p>
        </w:tc>
        <w:tc>
          <w:tcPr>
            <w:tcW w:w="109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钱旺镇、新兴产业示范区</w:t>
            </w:r>
          </w:p>
        </w:tc>
        <w:tc>
          <w:tcPr>
            <w:tcW w:w="735"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2017年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62" w:type="dxa"/>
            <w:vAlign w:val="center"/>
          </w:tcPr>
          <w:p>
            <w:pPr>
              <w:widowControl/>
              <w:snapToGrid w:val="0"/>
              <w:spacing w:line="280" w:lineRule="exact"/>
              <w:ind w:firstLine="0" w:firstLineChars="0"/>
              <w:rPr>
                <w:rFonts w:hint="eastAsia" w:eastAsia="仿宋_GB2312"/>
                <w:color w:val="000000"/>
                <w:kern w:val="0"/>
                <w:sz w:val="21"/>
                <w:szCs w:val="21"/>
              </w:rPr>
            </w:pPr>
            <w:r>
              <w:rPr>
                <w:rFonts w:eastAsia="仿宋_GB2312"/>
                <w:color w:val="000000"/>
                <w:kern w:val="0"/>
                <w:sz w:val="21"/>
                <w:szCs w:val="21"/>
              </w:rPr>
              <w:t>针对田贾庄排干渠清淤3.9公里，清淤量预计为4290立方米</w:t>
            </w:r>
            <w:r>
              <w:rPr>
                <w:rFonts w:hint="eastAsia" w:eastAsia="仿宋_GB2312"/>
                <w:color w:val="000000"/>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429.0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田贾庄排干渠</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191"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4</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153"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人工湿地工程</w:t>
            </w:r>
          </w:p>
        </w:tc>
        <w:tc>
          <w:tcPr>
            <w:tcW w:w="122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田贾庄表流湿地建设工程</w:t>
            </w:r>
          </w:p>
        </w:tc>
        <w:tc>
          <w:tcPr>
            <w:tcW w:w="1097" w:type="dxa"/>
            <w:vAlign w:val="center"/>
          </w:tcPr>
          <w:p>
            <w:pPr>
              <w:widowControl/>
              <w:snapToGrid w:val="0"/>
              <w:spacing w:line="270" w:lineRule="exact"/>
              <w:ind w:firstLine="0" w:firstLineChars="0"/>
              <w:jc w:val="center"/>
              <w:rPr>
                <w:rFonts w:eastAsia="仿宋_GB2312"/>
                <w:color w:val="000000"/>
                <w:kern w:val="0"/>
                <w:sz w:val="21"/>
                <w:szCs w:val="21"/>
              </w:rPr>
            </w:pPr>
            <w:r>
              <w:rPr>
                <w:rFonts w:eastAsia="仿宋_GB2312"/>
                <w:color w:val="000000"/>
                <w:kern w:val="0"/>
                <w:sz w:val="21"/>
                <w:szCs w:val="21"/>
              </w:rPr>
              <w:t>田贾庄排干渠堤内河道改建</w:t>
            </w:r>
          </w:p>
        </w:tc>
        <w:tc>
          <w:tcPr>
            <w:tcW w:w="735"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2017年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62" w:type="dxa"/>
            <w:vAlign w:val="center"/>
          </w:tcPr>
          <w:p>
            <w:pPr>
              <w:widowControl/>
              <w:snapToGrid w:val="0"/>
              <w:spacing w:line="280" w:lineRule="exact"/>
              <w:ind w:firstLine="0" w:firstLineChars="0"/>
              <w:rPr>
                <w:rFonts w:hint="eastAsia" w:eastAsia="仿宋_GB2312"/>
                <w:color w:val="000000"/>
                <w:kern w:val="0"/>
                <w:sz w:val="21"/>
                <w:szCs w:val="21"/>
              </w:rPr>
            </w:pPr>
            <w:r>
              <w:rPr>
                <w:rFonts w:eastAsia="仿宋_GB2312"/>
                <w:color w:val="000000"/>
                <w:kern w:val="0"/>
                <w:sz w:val="21"/>
                <w:szCs w:val="21"/>
              </w:rPr>
              <w:t>田贾庄表流湿地，占地约2公顷，位于田贾庄排干渠堤内，采用调蓄池-表流湿地工艺，处理田贾庄排干渠上游来水</w:t>
            </w:r>
            <w:r>
              <w:rPr>
                <w:rFonts w:hint="eastAsia" w:eastAsia="仿宋_GB2312"/>
                <w:color w:val="000000"/>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1500.0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田贾庄排干渠</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480" w:hRule="atLeast"/>
          <w:jc w:val="center"/>
        </w:trPr>
        <w:tc>
          <w:tcPr>
            <w:tcW w:w="13269" w:type="dxa"/>
            <w:gridSpan w:val="11"/>
            <w:vAlign w:val="center"/>
          </w:tcPr>
          <w:p>
            <w:pPr>
              <w:widowControl/>
              <w:snapToGrid w:val="0"/>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3-环境监管能力建设项目小计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708"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153"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环境监管能力建设</w:t>
            </w:r>
          </w:p>
        </w:tc>
        <w:tc>
          <w:tcPr>
            <w:tcW w:w="122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香河县潮白河重点监测断面水质监测能力项目</w:t>
            </w:r>
          </w:p>
        </w:tc>
        <w:tc>
          <w:tcPr>
            <w:tcW w:w="109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735"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2018年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62" w:type="dxa"/>
            <w:vAlign w:val="center"/>
          </w:tcPr>
          <w:p>
            <w:pPr>
              <w:widowControl/>
              <w:snapToGrid w:val="0"/>
              <w:spacing w:line="280" w:lineRule="exact"/>
              <w:ind w:firstLine="0" w:firstLineChars="0"/>
              <w:rPr>
                <w:rFonts w:hint="eastAsia" w:eastAsia="仿宋_GB2312"/>
                <w:color w:val="000000"/>
                <w:kern w:val="0"/>
                <w:sz w:val="21"/>
                <w:szCs w:val="21"/>
              </w:rPr>
            </w:pPr>
            <w:r>
              <w:rPr>
                <w:rFonts w:eastAsia="仿宋_GB2312"/>
                <w:color w:val="000000"/>
                <w:kern w:val="0"/>
                <w:sz w:val="21"/>
                <w:szCs w:val="21"/>
              </w:rPr>
              <w:t>在大运河汇入潮白河前上游断面、吴村断面、百家湾排干渠扬水站断面、大套桥断面建设自动监测站，在线监测站数据实时传输至原廊坊市环保局，监测预警潮白河水质</w:t>
            </w:r>
            <w:r>
              <w:rPr>
                <w:rFonts w:hint="eastAsia" w:eastAsia="仿宋_GB2312"/>
                <w:color w:val="000000"/>
                <w:kern w:val="0"/>
                <w:sz w:val="21"/>
                <w:szCs w:val="21"/>
              </w:rPr>
              <w:t>。</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400.0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269" w:hRule="atLeast"/>
          <w:jc w:val="center"/>
        </w:trPr>
        <w:tc>
          <w:tcPr>
            <w:tcW w:w="58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w:t>
            </w:r>
          </w:p>
        </w:tc>
        <w:tc>
          <w:tcPr>
            <w:tcW w:w="668"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153"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环境监管能力建设</w:t>
            </w:r>
          </w:p>
        </w:tc>
        <w:tc>
          <w:tcPr>
            <w:tcW w:w="122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香河县水环境监管能力建设项目</w:t>
            </w:r>
          </w:p>
        </w:tc>
        <w:tc>
          <w:tcPr>
            <w:tcW w:w="1097"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735"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2018年</w:t>
            </w:r>
          </w:p>
        </w:tc>
        <w:tc>
          <w:tcPr>
            <w:tcW w:w="128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62" w:type="dxa"/>
            <w:vAlign w:val="center"/>
          </w:tcPr>
          <w:p>
            <w:pPr>
              <w:widowControl/>
              <w:snapToGrid w:val="0"/>
              <w:spacing w:line="280" w:lineRule="exact"/>
              <w:ind w:firstLine="0" w:firstLineChars="0"/>
              <w:rPr>
                <w:rFonts w:hint="eastAsia" w:eastAsia="仿宋_GB2312"/>
                <w:color w:val="000000"/>
                <w:kern w:val="0"/>
                <w:sz w:val="21"/>
                <w:szCs w:val="21"/>
              </w:rPr>
            </w:pPr>
            <w:r>
              <w:rPr>
                <w:rFonts w:eastAsia="仿宋_GB2312"/>
                <w:color w:val="000000"/>
                <w:kern w:val="0"/>
                <w:sz w:val="21"/>
                <w:szCs w:val="21"/>
              </w:rPr>
              <w:t>根据现有能力建设情况和实际能力需求，提高水环境监测、监察及信息化等装备、设备配备标准，达到国家相应的标准化建设要求。</w:t>
            </w:r>
          </w:p>
        </w:tc>
        <w:tc>
          <w:tcPr>
            <w:tcW w:w="1161"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150.0 </w:t>
            </w:r>
          </w:p>
        </w:tc>
        <w:tc>
          <w:tcPr>
            <w:tcW w:w="842" w:type="dxa"/>
            <w:vAlign w:val="center"/>
          </w:tcPr>
          <w:p>
            <w:pPr>
              <w:widowControl/>
              <w:snapToGrid w:val="0"/>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996" w:hRule="atLeast"/>
          <w:jc w:val="center"/>
        </w:trPr>
        <w:tc>
          <w:tcPr>
            <w:tcW w:w="588"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3</w:t>
            </w:r>
          </w:p>
        </w:tc>
        <w:tc>
          <w:tcPr>
            <w:tcW w:w="668"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三河市</w:t>
            </w:r>
          </w:p>
        </w:tc>
        <w:tc>
          <w:tcPr>
            <w:tcW w:w="1153"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环境监管能力建设</w:t>
            </w:r>
          </w:p>
        </w:tc>
        <w:tc>
          <w:tcPr>
            <w:tcW w:w="1227"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三河市潮白河重点监测断面水质监测能力项目</w:t>
            </w:r>
          </w:p>
        </w:tc>
        <w:tc>
          <w:tcPr>
            <w:tcW w:w="1097"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三河市</w:t>
            </w:r>
          </w:p>
        </w:tc>
        <w:tc>
          <w:tcPr>
            <w:tcW w:w="735"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2018年</w:t>
            </w:r>
          </w:p>
        </w:tc>
        <w:tc>
          <w:tcPr>
            <w:tcW w:w="1282"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三河市政府</w:t>
            </w:r>
          </w:p>
        </w:tc>
        <w:tc>
          <w:tcPr>
            <w:tcW w:w="3862" w:type="dxa"/>
            <w:vAlign w:val="center"/>
          </w:tcPr>
          <w:p>
            <w:pPr>
              <w:widowControl/>
              <w:snapToGrid w:val="0"/>
              <w:spacing w:line="280" w:lineRule="exact"/>
              <w:ind w:firstLine="0" w:firstLineChars="0"/>
              <w:rPr>
                <w:rFonts w:hint="eastAsia" w:eastAsia="仿宋_GB2312"/>
                <w:kern w:val="0"/>
                <w:sz w:val="21"/>
                <w:szCs w:val="21"/>
              </w:rPr>
            </w:pPr>
            <w:r>
              <w:rPr>
                <w:rFonts w:eastAsia="仿宋_GB2312"/>
                <w:kern w:val="0"/>
                <w:sz w:val="21"/>
                <w:szCs w:val="21"/>
              </w:rPr>
              <w:t>在运潮减河汇入潮白河前上游断面、白庙断面下游设自动监测站，在线监测站数据实时传输至原廊坊市环保局，监测预警运潮减河入潮白河水质</w:t>
            </w:r>
            <w:r>
              <w:rPr>
                <w:rFonts w:hint="eastAsia" w:eastAsia="仿宋_GB2312"/>
                <w:kern w:val="0"/>
                <w:sz w:val="21"/>
                <w:szCs w:val="21"/>
              </w:rPr>
              <w:t>。</w:t>
            </w:r>
          </w:p>
        </w:tc>
        <w:tc>
          <w:tcPr>
            <w:tcW w:w="1161"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 xml:space="preserve">200.0 </w:t>
            </w:r>
          </w:p>
        </w:tc>
        <w:tc>
          <w:tcPr>
            <w:tcW w:w="842"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 xml:space="preserve">潮白河 </w:t>
            </w:r>
          </w:p>
        </w:tc>
        <w:tc>
          <w:tcPr>
            <w:tcW w:w="654" w:type="dxa"/>
            <w:vAlign w:val="center"/>
          </w:tcPr>
          <w:p>
            <w:pPr>
              <w:widowControl/>
              <w:snapToGrid w:val="0"/>
              <w:spacing w:line="280" w:lineRule="exact"/>
              <w:ind w:firstLine="0" w:firstLineChars="0"/>
              <w:jc w:val="center"/>
              <w:rPr>
                <w:rFonts w:eastAsia="仿宋_GB2312"/>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952" w:hRule="atLeast"/>
          <w:jc w:val="center"/>
        </w:trPr>
        <w:tc>
          <w:tcPr>
            <w:tcW w:w="588"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4</w:t>
            </w:r>
          </w:p>
        </w:tc>
        <w:tc>
          <w:tcPr>
            <w:tcW w:w="668"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大厂回族自治县</w:t>
            </w:r>
          </w:p>
        </w:tc>
        <w:tc>
          <w:tcPr>
            <w:tcW w:w="1153"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环境监管能力建设</w:t>
            </w:r>
          </w:p>
        </w:tc>
        <w:tc>
          <w:tcPr>
            <w:tcW w:w="1227"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大厂县潮白河重点监测断面水质监测能力项目</w:t>
            </w:r>
          </w:p>
        </w:tc>
        <w:tc>
          <w:tcPr>
            <w:tcW w:w="1097"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大厂县</w:t>
            </w:r>
          </w:p>
        </w:tc>
        <w:tc>
          <w:tcPr>
            <w:tcW w:w="735"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2018年</w:t>
            </w:r>
          </w:p>
        </w:tc>
        <w:tc>
          <w:tcPr>
            <w:tcW w:w="1282"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大厂县政府</w:t>
            </w:r>
          </w:p>
        </w:tc>
        <w:tc>
          <w:tcPr>
            <w:tcW w:w="3862" w:type="dxa"/>
            <w:vAlign w:val="center"/>
          </w:tcPr>
          <w:p>
            <w:pPr>
              <w:widowControl/>
              <w:snapToGrid w:val="0"/>
              <w:spacing w:line="280" w:lineRule="exact"/>
              <w:ind w:firstLine="0" w:firstLineChars="0"/>
              <w:rPr>
                <w:rFonts w:hint="eastAsia" w:eastAsia="仿宋_GB2312"/>
                <w:kern w:val="0"/>
                <w:sz w:val="21"/>
                <w:szCs w:val="21"/>
              </w:rPr>
            </w:pPr>
            <w:r>
              <w:rPr>
                <w:rFonts w:eastAsia="仿宋_GB2312"/>
                <w:kern w:val="0"/>
                <w:sz w:val="21"/>
                <w:szCs w:val="21"/>
              </w:rPr>
              <w:t>在潮白河三河-大厂界建设自动监测站，在线监测站数据实时传输至原廊坊市环保局，监测预警潮白河上游来水水质</w:t>
            </w:r>
            <w:r>
              <w:rPr>
                <w:rFonts w:hint="eastAsia" w:eastAsia="仿宋_GB2312"/>
                <w:kern w:val="0"/>
                <w:sz w:val="21"/>
                <w:szCs w:val="21"/>
              </w:rPr>
              <w:t>。</w:t>
            </w:r>
          </w:p>
        </w:tc>
        <w:tc>
          <w:tcPr>
            <w:tcW w:w="1161"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 xml:space="preserve">100.0 </w:t>
            </w:r>
          </w:p>
        </w:tc>
        <w:tc>
          <w:tcPr>
            <w:tcW w:w="842"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967" w:hRule="atLeast"/>
          <w:jc w:val="center"/>
        </w:trPr>
        <w:tc>
          <w:tcPr>
            <w:tcW w:w="588"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5</w:t>
            </w:r>
          </w:p>
        </w:tc>
        <w:tc>
          <w:tcPr>
            <w:tcW w:w="668"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三河市</w:t>
            </w:r>
          </w:p>
        </w:tc>
        <w:tc>
          <w:tcPr>
            <w:tcW w:w="1153"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环境监管能力建设</w:t>
            </w:r>
          </w:p>
        </w:tc>
        <w:tc>
          <w:tcPr>
            <w:tcW w:w="1227"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三河市水环境监管能力建设项目</w:t>
            </w:r>
          </w:p>
        </w:tc>
        <w:tc>
          <w:tcPr>
            <w:tcW w:w="1097"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三河市</w:t>
            </w:r>
          </w:p>
        </w:tc>
        <w:tc>
          <w:tcPr>
            <w:tcW w:w="735"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2018年</w:t>
            </w:r>
          </w:p>
        </w:tc>
        <w:tc>
          <w:tcPr>
            <w:tcW w:w="1282"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三河市政府</w:t>
            </w:r>
          </w:p>
        </w:tc>
        <w:tc>
          <w:tcPr>
            <w:tcW w:w="3862" w:type="dxa"/>
            <w:vAlign w:val="center"/>
          </w:tcPr>
          <w:p>
            <w:pPr>
              <w:widowControl/>
              <w:snapToGrid w:val="0"/>
              <w:spacing w:line="280" w:lineRule="exact"/>
              <w:ind w:firstLine="0" w:firstLineChars="0"/>
              <w:rPr>
                <w:rFonts w:eastAsia="仿宋_GB2312"/>
                <w:kern w:val="0"/>
                <w:sz w:val="21"/>
                <w:szCs w:val="21"/>
              </w:rPr>
            </w:pPr>
            <w:r>
              <w:rPr>
                <w:rFonts w:eastAsia="仿宋_GB2312"/>
                <w:kern w:val="0"/>
                <w:sz w:val="21"/>
                <w:szCs w:val="21"/>
              </w:rPr>
              <w:t>根据现有能力建设情况和实际能力需求，提高水环境监测、监察及信息化等装备、设备配备标准，达到国家相应的标准化建设要求。</w:t>
            </w:r>
          </w:p>
        </w:tc>
        <w:tc>
          <w:tcPr>
            <w:tcW w:w="1161"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 xml:space="preserve">150.0 </w:t>
            </w:r>
          </w:p>
        </w:tc>
        <w:tc>
          <w:tcPr>
            <w:tcW w:w="842"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50" w:hRule="atLeast"/>
          <w:jc w:val="center"/>
        </w:trPr>
        <w:tc>
          <w:tcPr>
            <w:tcW w:w="588"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6</w:t>
            </w:r>
          </w:p>
        </w:tc>
        <w:tc>
          <w:tcPr>
            <w:tcW w:w="668"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大厂回族自治县</w:t>
            </w:r>
          </w:p>
        </w:tc>
        <w:tc>
          <w:tcPr>
            <w:tcW w:w="1153"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环境监管能力建设</w:t>
            </w:r>
          </w:p>
        </w:tc>
        <w:tc>
          <w:tcPr>
            <w:tcW w:w="1227"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大厂县水环境监管能力建设项目</w:t>
            </w:r>
          </w:p>
        </w:tc>
        <w:tc>
          <w:tcPr>
            <w:tcW w:w="1097"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大厂县</w:t>
            </w:r>
          </w:p>
        </w:tc>
        <w:tc>
          <w:tcPr>
            <w:tcW w:w="735"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2018年</w:t>
            </w:r>
          </w:p>
        </w:tc>
        <w:tc>
          <w:tcPr>
            <w:tcW w:w="1282"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大厂县政府</w:t>
            </w:r>
          </w:p>
        </w:tc>
        <w:tc>
          <w:tcPr>
            <w:tcW w:w="3862" w:type="dxa"/>
            <w:vAlign w:val="center"/>
          </w:tcPr>
          <w:p>
            <w:pPr>
              <w:widowControl/>
              <w:snapToGrid w:val="0"/>
              <w:spacing w:line="280" w:lineRule="exact"/>
              <w:ind w:firstLine="0" w:firstLineChars="0"/>
              <w:rPr>
                <w:rFonts w:eastAsia="仿宋_GB2312"/>
                <w:kern w:val="0"/>
                <w:sz w:val="21"/>
                <w:szCs w:val="21"/>
              </w:rPr>
            </w:pPr>
            <w:r>
              <w:rPr>
                <w:rFonts w:eastAsia="仿宋_GB2312"/>
                <w:kern w:val="0"/>
                <w:sz w:val="21"/>
                <w:szCs w:val="21"/>
              </w:rPr>
              <w:t>根据现有能力建设情况和实际能力需求，提高水环境监测、监察及信息化等装备、设备配备标准，达到国家相应的标准化建设要求。</w:t>
            </w:r>
          </w:p>
        </w:tc>
        <w:tc>
          <w:tcPr>
            <w:tcW w:w="1161"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 xml:space="preserve">150.0 </w:t>
            </w:r>
          </w:p>
        </w:tc>
        <w:tc>
          <w:tcPr>
            <w:tcW w:w="842" w:type="dxa"/>
            <w:vAlign w:val="center"/>
          </w:tcPr>
          <w:p>
            <w:pPr>
              <w:widowControl/>
              <w:snapToGrid w:val="0"/>
              <w:spacing w:line="280" w:lineRule="exact"/>
              <w:ind w:firstLine="0" w:firstLineChars="0"/>
              <w:jc w:val="center"/>
              <w:rPr>
                <w:rFonts w:eastAsia="仿宋_GB2312"/>
                <w:kern w:val="0"/>
                <w:sz w:val="21"/>
                <w:szCs w:val="21"/>
              </w:rPr>
            </w:pPr>
            <w:r>
              <w:rPr>
                <w:rFonts w:eastAsia="仿宋_GB2312"/>
                <w:kern w:val="0"/>
                <w:sz w:val="21"/>
                <w:szCs w:val="21"/>
              </w:rPr>
              <w:t>潮白河</w:t>
            </w:r>
          </w:p>
        </w:tc>
        <w:tc>
          <w:tcPr>
            <w:tcW w:w="654" w:type="dxa"/>
            <w:vAlign w:val="center"/>
          </w:tcPr>
          <w:p>
            <w:pPr>
              <w:widowControl/>
              <w:snapToGrid w:val="0"/>
              <w:spacing w:line="280" w:lineRule="exact"/>
              <w:ind w:firstLine="0" w:firstLineChars="0"/>
              <w:jc w:val="center"/>
              <w:rPr>
                <w:rFonts w:eastAsia="仿宋_GB2312"/>
                <w:kern w:val="0"/>
                <w:sz w:val="21"/>
                <w:szCs w:val="21"/>
              </w:rPr>
            </w:pPr>
          </w:p>
        </w:tc>
      </w:tr>
    </w:tbl>
    <w:p>
      <w:pPr>
        <w:adjustRightInd w:val="0"/>
        <w:snapToGrid w:val="0"/>
        <w:spacing w:line="590" w:lineRule="exact"/>
        <w:ind w:firstLine="640"/>
        <w:rPr>
          <w:rFonts w:eastAsia="仿宋_GB2312"/>
          <w:sz w:val="32"/>
          <w:szCs w:val="32"/>
        </w:rPr>
        <w:sectPr>
          <w:footerReference r:id="rId5" w:type="default"/>
          <w:footerReference r:id="rId6" w:type="even"/>
          <w:pgSz w:w="16838" w:h="11906" w:orient="landscape"/>
          <w:pgMar w:top="1531" w:right="2098" w:bottom="1531" w:left="1474" w:header="851" w:footer="851" w:gutter="0"/>
          <w:pgNumType w:start="114"/>
          <w:cols w:space="720" w:num="1"/>
          <w:docGrid w:type="lines" w:linePitch="326" w:charSpace="0"/>
        </w:sectPr>
      </w:pPr>
    </w:p>
    <w:p>
      <w:pPr>
        <w:pStyle w:val="4"/>
        <w:ind w:firstLine="643"/>
      </w:pPr>
      <w:bookmarkStart w:id="5" w:name="_Toc23784092"/>
      <w:r>
        <w:t>5.3.2未完成工程项目</w:t>
      </w:r>
      <w:bookmarkEnd w:id="5"/>
    </w:p>
    <w:p>
      <w:pPr>
        <w:adjustRightInd w:val="0"/>
        <w:snapToGrid w:val="0"/>
        <w:spacing w:line="584" w:lineRule="exact"/>
        <w:ind w:firstLine="640"/>
        <w:rPr>
          <w:rFonts w:eastAsia="仿宋_GB2312"/>
          <w:sz w:val="32"/>
          <w:szCs w:val="32"/>
        </w:rPr>
      </w:pPr>
      <w:r>
        <w:rPr>
          <w:rFonts w:eastAsia="仿宋_GB2312"/>
          <w:sz w:val="32"/>
          <w:szCs w:val="32"/>
        </w:rPr>
        <w:t>潮白河流域主要涉及污染源治理、生态修复和保护项目，未完成工程18项，其中污染源治理项目7个，生态修复与保护项目11个，主要涵盖城区生活污水与污泥处理、农村生活污水处理、污水处理厂尾水深度处理、河道综合治理与人工湿地建设。具体项目清单见表5</w:t>
      </w:r>
      <w:r>
        <w:rPr>
          <w:rFonts w:hint="eastAsia" w:eastAsia="仿宋_GB2312"/>
          <w:sz w:val="32"/>
          <w:szCs w:val="32"/>
        </w:rPr>
        <w:t>-</w:t>
      </w:r>
      <w:r>
        <w:rPr>
          <w:rFonts w:eastAsia="仿宋_GB2312"/>
          <w:sz w:val="32"/>
          <w:szCs w:val="32"/>
        </w:rPr>
        <w:t>3。</w:t>
      </w:r>
    </w:p>
    <w:p>
      <w:pPr>
        <w:adjustRightInd w:val="0"/>
        <w:snapToGrid w:val="0"/>
        <w:spacing w:line="584" w:lineRule="exact"/>
        <w:ind w:firstLine="640"/>
        <w:rPr>
          <w:rFonts w:eastAsia="仿宋_GB2312"/>
          <w:sz w:val="32"/>
          <w:szCs w:val="32"/>
        </w:rPr>
      </w:pPr>
      <w:r>
        <w:rPr>
          <w:rFonts w:eastAsia="仿宋_GB2312"/>
          <w:sz w:val="32"/>
          <w:szCs w:val="32"/>
        </w:rPr>
        <w:t>（1）城区生活污水与污泥处理工程5项</w:t>
      </w:r>
    </w:p>
    <w:p>
      <w:pPr>
        <w:adjustRightInd w:val="0"/>
        <w:snapToGrid w:val="0"/>
        <w:spacing w:line="584" w:lineRule="exact"/>
        <w:ind w:firstLine="640"/>
        <w:rPr>
          <w:rFonts w:eastAsia="仿宋_GB2312"/>
          <w:sz w:val="32"/>
          <w:szCs w:val="32"/>
        </w:rPr>
      </w:pPr>
      <w:r>
        <w:rPr>
          <w:rFonts w:eastAsia="仿宋_GB2312"/>
          <w:sz w:val="32"/>
          <w:szCs w:val="32"/>
        </w:rPr>
        <w:t>城区生活污水处理包括华堂高尔夫污水处理厂建设工程、河北大厂潮白河经济开发区污水处理厂、燕郊污泥集中处理处置工程、燕郊西污水处理厂中水深度处理工程、燕郊北污水处理厂中水深度处理工程。</w:t>
      </w:r>
    </w:p>
    <w:p>
      <w:pPr>
        <w:adjustRightInd w:val="0"/>
        <w:snapToGrid w:val="0"/>
        <w:spacing w:line="584" w:lineRule="exact"/>
        <w:ind w:firstLine="640"/>
        <w:rPr>
          <w:rFonts w:eastAsia="仿宋_GB2312"/>
          <w:sz w:val="32"/>
          <w:szCs w:val="32"/>
        </w:rPr>
      </w:pPr>
      <w:r>
        <w:rPr>
          <w:rFonts w:eastAsia="仿宋_GB2312"/>
          <w:sz w:val="32"/>
          <w:szCs w:val="32"/>
        </w:rPr>
        <w:t>（2）农村生活污水处理工程2项</w:t>
      </w:r>
    </w:p>
    <w:p>
      <w:pPr>
        <w:adjustRightInd w:val="0"/>
        <w:snapToGrid w:val="0"/>
        <w:spacing w:line="584" w:lineRule="exact"/>
        <w:ind w:firstLine="640"/>
        <w:rPr>
          <w:rFonts w:eastAsia="仿宋_GB2312"/>
          <w:sz w:val="32"/>
          <w:szCs w:val="32"/>
        </w:rPr>
      </w:pPr>
      <w:r>
        <w:rPr>
          <w:rFonts w:eastAsia="仿宋_GB2312"/>
          <w:sz w:val="32"/>
          <w:szCs w:val="32"/>
        </w:rPr>
        <w:t>农村生活污水处理包括凌家吴、河南吴农村生活污水处理工程，分别新建分散式污水处理设施183套、527套。</w:t>
      </w:r>
    </w:p>
    <w:p>
      <w:pPr>
        <w:adjustRightInd w:val="0"/>
        <w:snapToGrid w:val="0"/>
        <w:spacing w:line="584" w:lineRule="exact"/>
        <w:ind w:firstLine="640"/>
        <w:rPr>
          <w:rFonts w:eastAsia="仿宋_GB2312"/>
          <w:sz w:val="32"/>
          <w:szCs w:val="32"/>
        </w:rPr>
      </w:pPr>
      <w:r>
        <w:rPr>
          <w:rFonts w:eastAsia="仿宋_GB2312"/>
          <w:sz w:val="32"/>
          <w:szCs w:val="32"/>
        </w:rPr>
        <w:t>（3）污水处理厂尾水深度处理工程3项</w:t>
      </w:r>
    </w:p>
    <w:p>
      <w:pPr>
        <w:adjustRightInd w:val="0"/>
        <w:snapToGrid w:val="0"/>
        <w:spacing w:line="584" w:lineRule="exact"/>
        <w:ind w:firstLine="640"/>
        <w:rPr>
          <w:rFonts w:eastAsia="仿宋_GB2312"/>
          <w:sz w:val="32"/>
          <w:szCs w:val="32"/>
        </w:rPr>
      </w:pPr>
      <w:r>
        <w:rPr>
          <w:rFonts w:eastAsia="仿宋_GB2312"/>
          <w:sz w:val="32"/>
          <w:szCs w:val="32"/>
        </w:rPr>
        <w:t>污水处理厂尾水深度处理包括燕郊西污水处理厂、燕郊北污水处理厂、华堂高尔夫污水处理厂的尾水湿地。</w:t>
      </w:r>
    </w:p>
    <w:p>
      <w:pPr>
        <w:adjustRightInd w:val="0"/>
        <w:snapToGrid w:val="0"/>
        <w:spacing w:line="584" w:lineRule="exact"/>
        <w:ind w:firstLine="640"/>
        <w:rPr>
          <w:rFonts w:eastAsia="仿宋_GB2312"/>
          <w:sz w:val="32"/>
          <w:szCs w:val="32"/>
        </w:rPr>
      </w:pPr>
      <w:r>
        <w:rPr>
          <w:rFonts w:eastAsia="仿宋_GB2312"/>
          <w:sz w:val="32"/>
          <w:szCs w:val="32"/>
        </w:rPr>
        <w:t>（4）河道综合治理与人</w:t>
      </w:r>
      <w:r>
        <w:rPr>
          <w:rFonts w:hint="eastAsia" w:eastAsia="仿宋_GB2312"/>
          <w:sz w:val="32"/>
          <w:szCs w:val="32"/>
        </w:rPr>
        <w:t>工</w:t>
      </w:r>
      <w:r>
        <w:rPr>
          <w:rFonts w:eastAsia="仿宋_GB2312"/>
          <w:sz w:val="32"/>
          <w:szCs w:val="32"/>
        </w:rPr>
        <w:t>湿地建设工程8项</w:t>
      </w:r>
    </w:p>
    <w:p>
      <w:pPr>
        <w:adjustRightInd w:val="0"/>
        <w:snapToGrid w:val="0"/>
        <w:spacing w:line="584" w:lineRule="exact"/>
        <w:ind w:firstLine="640"/>
        <w:rPr>
          <w:rFonts w:eastAsia="仿宋_GB2312"/>
          <w:sz w:val="32"/>
          <w:szCs w:val="32"/>
        </w:rPr>
      </w:pPr>
      <w:r>
        <w:rPr>
          <w:rFonts w:eastAsia="仿宋_GB2312"/>
          <w:sz w:val="32"/>
          <w:szCs w:val="32"/>
        </w:rPr>
        <w:t>河道综合治理与人</w:t>
      </w:r>
      <w:r>
        <w:rPr>
          <w:rFonts w:hint="eastAsia" w:eastAsia="仿宋_GB2312"/>
          <w:sz w:val="32"/>
          <w:szCs w:val="32"/>
        </w:rPr>
        <w:t>工</w:t>
      </w:r>
      <w:r>
        <w:rPr>
          <w:rFonts w:eastAsia="仿宋_GB2312"/>
          <w:sz w:val="32"/>
          <w:szCs w:val="32"/>
        </w:rPr>
        <w:t>湿地建设包括荣各庄排干渠、商汪甸排干渠河道清淤工程、潮白河滩涂地表流功能湿地工程、吴村人工潜流湿地建设工程、百家湾、荣各庄、商汪甸表流湿地建设工程、大套桥河流表流湿地建设工程。</w:t>
      </w:r>
    </w:p>
    <w:p>
      <w:pPr>
        <w:adjustRightInd w:val="0"/>
        <w:snapToGrid w:val="0"/>
        <w:spacing w:line="590" w:lineRule="exact"/>
        <w:ind w:firstLine="640"/>
        <w:rPr>
          <w:rFonts w:eastAsia="仿宋_GB2312"/>
          <w:sz w:val="32"/>
          <w:szCs w:val="32"/>
        </w:rPr>
        <w:sectPr>
          <w:footerReference r:id="rId7" w:type="default"/>
          <w:footerReference r:id="rId8" w:type="even"/>
          <w:pgSz w:w="11906" w:h="16838"/>
          <w:pgMar w:top="2098" w:right="1531" w:bottom="1474" w:left="1531" w:header="851" w:footer="851" w:gutter="0"/>
          <w:pgNumType w:start="117"/>
          <w:cols w:space="720" w:num="1"/>
          <w:docGrid w:type="lines" w:linePitch="326" w:charSpace="0"/>
        </w:sectPr>
      </w:pPr>
    </w:p>
    <w:p>
      <w:pPr>
        <w:ind w:firstLine="640"/>
        <w:jc w:val="center"/>
        <w:rPr>
          <w:rFonts w:ascii="黑体" w:hAnsi="黑体" w:eastAsia="黑体"/>
          <w:sz w:val="32"/>
          <w:szCs w:val="32"/>
        </w:rPr>
      </w:pPr>
      <w:r>
        <w:rPr>
          <w:rFonts w:ascii="黑体" w:hAnsi="黑体" w:eastAsia="黑体"/>
          <w:sz w:val="32"/>
          <w:szCs w:val="32"/>
        </w:rPr>
        <w:t>表5</w:t>
      </w:r>
      <w:r>
        <w:rPr>
          <w:rFonts w:hint="eastAsia" w:eastAsia="仿宋_GB2312"/>
          <w:sz w:val="32"/>
          <w:szCs w:val="32"/>
        </w:rPr>
        <w:t>-</w:t>
      </w:r>
      <w:r>
        <w:rPr>
          <w:rFonts w:ascii="黑体" w:hAnsi="黑体" w:eastAsia="黑体"/>
          <w:sz w:val="32"/>
          <w:szCs w:val="32"/>
        </w:rPr>
        <w:t>3 未完成工程项目清单</w:t>
      </w:r>
    </w:p>
    <w:tbl>
      <w:tblPr>
        <w:tblStyle w:val="9"/>
        <w:tblW w:w="132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
      <w:tblGrid>
        <w:gridCol w:w="521"/>
        <w:gridCol w:w="28"/>
        <w:gridCol w:w="825"/>
        <w:gridCol w:w="812"/>
        <w:gridCol w:w="1274"/>
        <w:gridCol w:w="1132"/>
        <w:gridCol w:w="876"/>
        <w:gridCol w:w="1135"/>
        <w:gridCol w:w="3803"/>
        <w:gridCol w:w="1274"/>
        <w:gridCol w:w="988"/>
        <w:gridCol w:w="5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787" w:hRule="atLeast"/>
          <w:tblHeader/>
        </w:trPr>
        <w:tc>
          <w:tcPr>
            <w:tcW w:w="549" w:type="dxa"/>
            <w:gridSpan w:val="2"/>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序号</w:t>
            </w:r>
          </w:p>
        </w:tc>
        <w:tc>
          <w:tcPr>
            <w:tcW w:w="825" w:type="dxa"/>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隶属</w:t>
            </w:r>
          </w:p>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关系</w:t>
            </w:r>
          </w:p>
        </w:tc>
        <w:tc>
          <w:tcPr>
            <w:tcW w:w="812" w:type="dxa"/>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项目类型</w:t>
            </w:r>
          </w:p>
        </w:tc>
        <w:tc>
          <w:tcPr>
            <w:tcW w:w="1274" w:type="dxa"/>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项目名称</w:t>
            </w:r>
          </w:p>
        </w:tc>
        <w:tc>
          <w:tcPr>
            <w:tcW w:w="1132" w:type="dxa"/>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建设</w:t>
            </w:r>
          </w:p>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地点</w:t>
            </w:r>
          </w:p>
        </w:tc>
        <w:tc>
          <w:tcPr>
            <w:tcW w:w="876" w:type="dxa"/>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建设</w:t>
            </w:r>
          </w:p>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周期</w:t>
            </w:r>
          </w:p>
        </w:tc>
        <w:tc>
          <w:tcPr>
            <w:tcW w:w="1135" w:type="dxa"/>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承担单位</w:t>
            </w:r>
          </w:p>
        </w:tc>
        <w:tc>
          <w:tcPr>
            <w:tcW w:w="3803" w:type="dxa"/>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项目建设规模与内容</w:t>
            </w:r>
          </w:p>
        </w:tc>
        <w:tc>
          <w:tcPr>
            <w:tcW w:w="1274" w:type="dxa"/>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项目总投资</w:t>
            </w:r>
          </w:p>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（万元）</w:t>
            </w:r>
          </w:p>
        </w:tc>
        <w:tc>
          <w:tcPr>
            <w:tcW w:w="988" w:type="dxa"/>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关联</w:t>
            </w:r>
          </w:p>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水体</w:t>
            </w:r>
          </w:p>
        </w:tc>
        <w:tc>
          <w:tcPr>
            <w:tcW w:w="577" w:type="dxa"/>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506" w:hRule="atLeast"/>
        </w:trPr>
        <w:tc>
          <w:tcPr>
            <w:tcW w:w="13245" w:type="dxa"/>
            <w:gridSpan w:val="12"/>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1-流域污染源治理类型项目小计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694" w:hRule="atLeast"/>
        </w:trPr>
        <w:tc>
          <w:tcPr>
            <w:tcW w:w="521"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w:t>
            </w:r>
          </w:p>
        </w:tc>
        <w:tc>
          <w:tcPr>
            <w:tcW w:w="853"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污水处理厂及配套管网建设</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华堂高尔夫污水处理厂（即燕郊第五污水处理厂）建设工程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876" w:type="dxa"/>
            <w:vAlign w:val="center"/>
          </w:tcPr>
          <w:p>
            <w:pPr>
              <w:widowControl/>
              <w:snapToGrid w:val="0"/>
              <w:spacing w:line="300" w:lineRule="exact"/>
              <w:ind w:firstLine="0" w:firstLineChars="0"/>
              <w:jc w:val="center"/>
              <w:rPr>
                <w:rFonts w:hint="eastAsia" w:eastAsia="仿宋_GB2312"/>
                <w:color w:val="000000"/>
                <w:kern w:val="0"/>
                <w:sz w:val="21"/>
                <w:szCs w:val="21"/>
              </w:rPr>
            </w:pPr>
            <w:r>
              <w:rPr>
                <w:rFonts w:eastAsia="仿宋_GB2312"/>
                <w:color w:val="000000"/>
                <w:kern w:val="0"/>
                <w:sz w:val="21"/>
                <w:szCs w:val="21"/>
              </w:rPr>
              <w:t>2018</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803" w:type="dxa"/>
            <w:vAlign w:val="center"/>
          </w:tcPr>
          <w:p>
            <w:pPr>
              <w:widowControl/>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新建华堂高尔夫污水处理厂，占地40亩，日处理能力4万吨，出水水质均为京B四类水标准，出水进入尾水净化湿地</w:t>
            </w:r>
            <w:r>
              <w:rPr>
                <w:rFonts w:hint="eastAsia" w:eastAsia="仿宋_GB2312"/>
                <w:color w:val="000000"/>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35000.0</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86" w:hRule="atLeast"/>
        </w:trPr>
        <w:tc>
          <w:tcPr>
            <w:tcW w:w="521"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w:t>
            </w:r>
          </w:p>
        </w:tc>
        <w:tc>
          <w:tcPr>
            <w:tcW w:w="853"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大厂回族自治县</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污水处理厂及配套管网建设</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河北大厂潮白河经济开发区污水处理厂</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潮白新区</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2016</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大厂县政府</w:t>
            </w:r>
          </w:p>
        </w:tc>
        <w:tc>
          <w:tcPr>
            <w:tcW w:w="3803" w:type="dxa"/>
            <w:vAlign w:val="center"/>
          </w:tcPr>
          <w:p>
            <w:pPr>
              <w:widowControl/>
              <w:snapToGrid w:val="0"/>
              <w:spacing w:line="300" w:lineRule="exact"/>
              <w:ind w:firstLine="0" w:firstLineChars="0"/>
              <w:rPr>
                <w:rFonts w:eastAsia="仿宋_GB2312"/>
                <w:color w:val="000000"/>
                <w:kern w:val="0"/>
                <w:sz w:val="21"/>
                <w:szCs w:val="21"/>
              </w:rPr>
            </w:pPr>
            <w:r>
              <w:rPr>
                <w:rFonts w:eastAsia="仿宋_GB2312"/>
                <w:color w:val="000000"/>
                <w:kern w:val="0"/>
                <w:sz w:val="21"/>
                <w:szCs w:val="21"/>
              </w:rPr>
              <w:t>一期2万吨污水处理厂建设，出水标准一级A。园区主导产业为装备制造业和高新技术产业，重点以发动机配件、转向系配件、汽车灯具等汽车零部件制造和电子信息设备、石油设备制造等装备制造业为主。</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8000.0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潮白河（或鲍丘河）</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443" w:hRule="atLeast"/>
        </w:trPr>
        <w:tc>
          <w:tcPr>
            <w:tcW w:w="521"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3</w:t>
            </w:r>
          </w:p>
        </w:tc>
        <w:tc>
          <w:tcPr>
            <w:tcW w:w="853"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污泥处理处置</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燕郊污泥集中处理处置工程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2017</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803" w:type="dxa"/>
            <w:vAlign w:val="center"/>
          </w:tcPr>
          <w:p>
            <w:pPr>
              <w:widowControl/>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新建200吨/日处理能力的污泥集中处理处置厂（其中，其中，2017年底建成一期100吨/天规模，2020年建设完成全部规模）</w:t>
            </w:r>
            <w:r>
              <w:rPr>
                <w:rFonts w:hint="eastAsia" w:eastAsia="仿宋_GB2312"/>
                <w:color w:val="000000"/>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4000.0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415" w:hRule="atLeast"/>
        </w:trPr>
        <w:tc>
          <w:tcPr>
            <w:tcW w:w="521"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4</w:t>
            </w:r>
          </w:p>
        </w:tc>
        <w:tc>
          <w:tcPr>
            <w:tcW w:w="853"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再生水处理及配套设施建设</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燕郊第二污水处理厂中水深度处理工程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2017</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803" w:type="dxa"/>
            <w:vAlign w:val="center"/>
          </w:tcPr>
          <w:p>
            <w:pPr>
              <w:widowControl/>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改建5万吨/日中水深度处理设施</w:t>
            </w:r>
            <w:r>
              <w:rPr>
                <w:rFonts w:hint="eastAsia" w:eastAsia="仿宋_GB2312"/>
                <w:color w:val="000000"/>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5000.0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632" w:hRule="atLeast"/>
        </w:trPr>
        <w:tc>
          <w:tcPr>
            <w:tcW w:w="521"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5</w:t>
            </w:r>
          </w:p>
        </w:tc>
        <w:tc>
          <w:tcPr>
            <w:tcW w:w="853"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再生水处理及配套设施建设</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燕郊第四污水处理厂中水深度处理工程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2017</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803" w:type="dxa"/>
            <w:vAlign w:val="center"/>
          </w:tcPr>
          <w:p>
            <w:pPr>
              <w:widowControl/>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新建2万吨/日中水深度处理设施</w:t>
            </w:r>
            <w:r>
              <w:rPr>
                <w:rFonts w:hint="eastAsia" w:eastAsia="仿宋_GB2312"/>
                <w:color w:val="000000"/>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2000.0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561" w:hRule="atLeast"/>
        </w:trPr>
        <w:tc>
          <w:tcPr>
            <w:tcW w:w="521"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6</w:t>
            </w:r>
          </w:p>
        </w:tc>
        <w:tc>
          <w:tcPr>
            <w:tcW w:w="853"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农村生活污染源治理</w:t>
            </w:r>
          </w:p>
        </w:tc>
        <w:tc>
          <w:tcPr>
            <w:tcW w:w="1274" w:type="dxa"/>
            <w:vAlign w:val="center"/>
          </w:tcPr>
          <w:p>
            <w:pPr>
              <w:widowControl/>
              <w:snapToGrid w:val="0"/>
              <w:spacing w:line="300" w:lineRule="exact"/>
              <w:ind w:firstLine="0" w:firstLineChars="0"/>
              <w:jc w:val="center"/>
              <w:rPr>
                <w:rFonts w:eastAsia="仿宋_GB2312"/>
                <w:kern w:val="0"/>
                <w:sz w:val="21"/>
                <w:szCs w:val="21"/>
              </w:rPr>
            </w:pPr>
            <w:r>
              <w:rPr>
                <w:rFonts w:eastAsia="仿宋_GB2312"/>
                <w:kern w:val="0"/>
                <w:sz w:val="21"/>
                <w:szCs w:val="21"/>
              </w:rPr>
              <w:t>凌家吴农村生活污水处理工程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淑阳镇</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2018</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03" w:type="dxa"/>
            <w:vAlign w:val="center"/>
          </w:tcPr>
          <w:p>
            <w:pPr>
              <w:widowControl/>
              <w:snapToGrid w:val="0"/>
              <w:spacing w:line="300" w:lineRule="exact"/>
              <w:ind w:firstLine="0" w:firstLineChars="0"/>
              <w:rPr>
                <w:rFonts w:hint="eastAsia" w:eastAsia="仿宋_GB2312"/>
                <w:kern w:val="0"/>
                <w:sz w:val="21"/>
                <w:szCs w:val="21"/>
              </w:rPr>
            </w:pPr>
            <w:r>
              <w:rPr>
                <w:rFonts w:eastAsia="仿宋_GB2312"/>
                <w:kern w:val="0"/>
                <w:sz w:val="21"/>
                <w:szCs w:val="21"/>
              </w:rPr>
              <w:t>新建分散式污水处理设施183套</w:t>
            </w:r>
            <w:r>
              <w:rPr>
                <w:rFonts w:hint="eastAsia" w:eastAsia="仿宋_GB2312"/>
                <w:kern w:val="0"/>
                <w:sz w:val="21"/>
                <w:szCs w:val="21"/>
              </w:rPr>
              <w:t>。</w:t>
            </w:r>
          </w:p>
        </w:tc>
        <w:tc>
          <w:tcPr>
            <w:tcW w:w="1274" w:type="dxa"/>
            <w:vAlign w:val="center"/>
          </w:tcPr>
          <w:p>
            <w:pPr>
              <w:widowControl/>
              <w:snapToGrid w:val="0"/>
              <w:spacing w:line="300" w:lineRule="exact"/>
              <w:ind w:firstLine="0" w:firstLineChars="0"/>
              <w:jc w:val="center"/>
              <w:rPr>
                <w:rFonts w:eastAsia="仿宋_GB2312"/>
                <w:kern w:val="0"/>
                <w:sz w:val="21"/>
                <w:szCs w:val="21"/>
              </w:rPr>
            </w:pPr>
            <w:r>
              <w:rPr>
                <w:rFonts w:eastAsia="仿宋_GB2312"/>
                <w:kern w:val="0"/>
                <w:sz w:val="21"/>
                <w:szCs w:val="21"/>
              </w:rPr>
              <w:t xml:space="preserve">366.0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506" w:hRule="atLeast"/>
        </w:trPr>
        <w:tc>
          <w:tcPr>
            <w:tcW w:w="521"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7</w:t>
            </w:r>
          </w:p>
        </w:tc>
        <w:tc>
          <w:tcPr>
            <w:tcW w:w="853"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农村生活污染源治理</w:t>
            </w:r>
          </w:p>
        </w:tc>
        <w:tc>
          <w:tcPr>
            <w:tcW w:w="1274" w:type="dxa"/>
            <w:vAlign w:val="center"/>
          </w:tcPr>
          <w:p>
            <w:pPr>
              <w:widowControl/>
              <w:snapToGrid w:val="0"/>
              <w:spacing w:line="300" w:lineRule="exact"/>
              <w:ind w:firstLine="0" w:firstLineChars="0"/>
              <w:jc w:val="center"/>
              <w:rPr>
                <w:rFonts w:eastAsia="仿宋_GB2312"/>
                <w:kern w:val="0"/>
                <w:sz w:val="21"/>
                <w:szCs w:val="21"/>
              </w:rPr>
            </w:pPr>
            <w:r>
              <w:rPr>
                <w:rFonts w:eastAsia="仿宋_GB2312"/>
                <w:kern w:val="0"/>
                <w:sz w:val="21"/>
                <w:szCs w:val="21"/>
              </w:rPr>
              <w:t>河南吴农村生活污水处理工程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淑阳镇</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2018</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03" w:type="dxa"/>
            <w:vAlign w:val="center"/>
          </w:tcPr>
          <w:p>
            <w:pPr>
              <w:widowControl/>
              <w:snapToGrid w:val="0"/>
              <w:spacing w:line="300" w:lineRule="exact"/>
              <w:ind w:firstLine="0" w:firstLineChars="0"/>
              <w:rPr>
                <w:rFonts w:hint="eastAsia" w:eastAsia="仿宋_GB2312"/>
                <w:kern w:val="0"/>
                <w:sz w:val="21"/>
                <w:szCs w:val="21"/>
              </w:rPr>
            </w:pPr>
            <w:r>
              <w:rPr>
                <w:rFonts w:eastAsia="仿宋_GB2312"/>
                <w:kern w:val="0"/>
                <w:sz w:val="21"/>
                <w:szCs w:val="21"/>
              </w:rPr>
              <w:t>新建分散式污水处理设施527套</w:t>
            </w:r>
            <w:r>
              <w:rPr>
                <w:rFonts w:hint="eastAsia" w:eastAsia="仿宋_GB2312"/>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1054.0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450" w:hRule="atLeast"/>
        </w:trPr>
        <w:tc>
          <w:tcPr>
            <w:tcW w:w="13245" w:type="dxa"/>
            <w:gridSpan w:val="12"/>
            <w:vAlign w:val="center"/>
          </w:tcPr>
          <w:p>
            <w:pPr>
              <w:widowControl/>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2-流域生态修复与保护类型项目小计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393" w:hRule="atLeast"/>
        </w:trPr>
        <w:tc>
          <w:tcPr>
            <w:tcW w:w="549"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w:t>
            </w:r>
          </w:p>
        </w:tc>
        <w:tc>
          <w:tcPr>
            <w:tcW w:w="82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河道综合整治</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荣各庄排干渠河道清淤工程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渠口镇</w:t>
            </w:r>
          </w:p>
        </w:tc>
        <w:tc>
          <w:tcPr>
            <w:tcW w:w="876" w:type="dxa"/>
            <w:vAlign w:val="center"/>
          </w:tcPr>
          <w:p>
            <w:pPr>
              <w:widowControl/>
              <w:snapToGrid w:val="0"/>
              <w:spacing w:line="300" w:lineRule="exact"/>
              <w:ind w:firstLine="0" w:firstLineChars="0"/>
              <w:jc w:val="center"/>
              <w:rPr>
                <w:rFonts w:hint="eastAsia" w:eastAsia="仿宋_GB2312"/>
                <w:color w:val="000000"/>
                <w:kern w:val="0"/>
                <w:sz w:val="21"/>
                <w:szCs w:val="21"/>
              </w:rPr>
            </w:pPr>
            <w:r>
              <w:rPr>
                <w:rFonts w:eastAsia="仿宋_GB2312"/>
                <w:color w:val="000000"/>
                <w:kern w:val="0"/>
                <w:sz w:val="21"/>
                <w:szCs w:val="21"/>
              </w:rPr>
              <w:t>2018</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03" w:type="dxa"/>
            <w:vAlign w:val="center"/>
          </w:tcPr>
          <w:p>
            <w:pPr>
              <w:widowControl/>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针对荣各庄排干渠清淤2.45公里，清淤量预计为2450立方米</w:t>
            </w:r>
            <w:r>
              <w:rPr>
                <w:rFonts w:hint="eastAsia" w:eastAsia="仿宋_GB2312"/>
                <w:color w:val="000000"/>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245.0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荣各庄排干渠</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380" w:hRule="atLeast"/>
        </w:trPr>
        <w:tc>
          <w:tcPr>
            <w:tcW w:w="549"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w:t>
            </w:r>
          </w:p>
        </w:tc>
        <w:tc>
          <w:tcPr>
            <w:tcW w:w="82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河道综合整治</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商汪甸排干渠河道清淤工程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安头屯镇、刘宋镇</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2018</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03" w:type="dxa"/>
            <w:vAlign w:val="center"/>
          </w:tcPr>
          <w:p>
            <w:pPr>
              <w:widowControl/>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针对商汪甸排干渠清淤2.65公里，清淤量预计为2120立方米</w:t>
            </w:r>
            <w:r>
              <w:rPr>
                <w:rFonts w:hint="eastAsia" w:eastAsia="仿宋_GB2312"/>
                <w:color w:val="000000"/>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212.0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商汪甸排干渠</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290" w:hRule="atLeast"/>
        </w:trPr>
        <w:tc>
          <w:tcPr>
            <w:tcW w:w="549"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3</w:t>
            </w:r>
          </w:p>
        </w:tc>
        <w:tc>
          <w:tcPr>
            <w:tcW w:w="82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人工湿地工程</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燕郊第二污水处理厂尾水湿地</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2018</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803" w:type="dxa"/>
            <w:vAlign w:val="center"/>
          </w:tcPr>
          <w:p>
            <w:pPr>
              <w:widowControl/>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接入污水处理厂排放尾水，建设占地约为30公顷、垂直潜流工艺湿地</w:t>
            </w:r>
            <w:r>
              <w:rPr>
                <w:rFonts w:hint="eastAsia" w:eastAsia="仿宋_GB2312"/>
                <w:color w:val="000000"/>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13200.0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821" w:hRule="atLeast"/>
        </w:trPr>
        <w:tc>
          <w:tcPr>
            <w:tcW w:w="549"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4</w:t>
            </w:r>
          </w:p>
        </w:tc>
        <w:tc>
          <w:tcPr>
            <w:tcW w:w="82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人工湿地工程</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燕郊北污水处理厂（即燕郊第四污水处理厂）尾水湿地</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2018</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803" w:type="dxa"/>
            <w:vAlign w:val="center"/>
          </w:tcPr>
          <w:p>
            <w:pPr>
              <w:widowControl/>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接入污水处理厂排放尾水，建设占地约为30公顷、垂直潜流工艺湿地</w:t>
            </w:r>
            <w:r>
              <w:rPr>
                <w:rFonts w:hint="eastAsia" w:eastAsia="仿宋_GB2312"/>
                <w:color w:val="000000"/>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13200.0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918" w:hRule="atLeast"/>
        </w:trPr>
        <w:tc>
          <w:tcPr>
            <w:tcW w:w="549"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5</w:t>
            </w:r>
          </w:p>
        </w:tc>
        <w:tc>
          <w:tcPr>
            <w:tcW w:w="82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人工湿地工程</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华堂高尔夫污水处理厂（即燕郊第五污水处理厂）尾水湿地</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803" w:type="dxa"/>
            <w:vAlign w:val="center"/>
          </w:tcPr>
          <w:p>
            <w:pPr>
              <w:widowControl/>
              <w:snapToGrid w:val="0"/>
              <w:spacing w:line="300" w:lineRule="exact"/>
              <w:ind w:firstLine="0" w:firstLineChars="0"/>
              <w:rPr>
                <w:rFonts w:eastAsia="仿宋_GB2312"/>
                <w:color w:val="000000"/>
                <w:kern w:val="0"/>
                <w:sz w:val="21"/>
                <w:szCs w:val="21"/>
              </w:rPr>
            </w:pPr>
            <w:r>
              <w:rPr>
                <w:rFonts w:eastAsia="仿宋_GB2312"/>
                <w:color w:val="000000"/>
                <w:kern w:val="0"/>
                <w:sz w:val="21"/>
                <w:szCs w:val="21"/>
              </w:rPr>
              <w:t xml:space="preserve">接入污水处理厂排放尾水，建设净化湿地，工程建设区域范围为燕郊开发区南侧潮白河堤内河滩地，占地面积12公顷。 </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7200.0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331" w:hRule="atLeast"/>
        </w:trPr>
        <w:tc>
          <w:tcPr>
            <w:tcW w:w="549"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6</w:t>
            </w:r>
          </w:p>
        </w:tc>
        <w:tc>
          <w:tcPr>
            <w:tcW w:w="82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三河市、大厂县、香河县</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人工湿地工程</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潮白河滩涂地表流功能湿地工程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燕郊开发区</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三河市、大厂县、香河县政府</w:t>
            </w:r>
          </w:p>
        </w:tc>
        <w:tc>
          <w:tcPr>
            <w:tcW w:w="3803" w:type="dxa"/>
            <w:vAlign w:val="center"/>
          </w:tcPr>
          <w:p>
            <w:pPr>
              <w:widowControl/>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廊坊市三河市、香河县的潮白河流域，在沿河堤内构筑5-70米宽的条带型表流功能湿地。占地面积为64ha</w:t>
            </w:r>
            <w:r>
              <w:rPr>
                <w:rFonts w:hint="eastAsia" w:eastAsia="仿宋_GB2312"/>
                <w:color w:val="000000"/>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6000.0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513" w:hRule="atLeast"/>
        </w:trPr>
        <w:tc>
          <w:tcPr>
            <w:tcW w:w="549"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7</w:t>
            </w:r>
          </w:p>
        </w:tc>
        <w:tc>
          <w:tcPr>
            <w:tcW w:w="82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人工湿地工程</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吴村人工潜流湿地建设工程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程辛庄村以东、王庄子村以西堤内用地</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2017</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03" w:type="dxa"/>
            <w:vAlign w:val="center"/>
          </w:tcPr>
          <w:p>
            <w:pPr>
              <w:widowControl/>
              <w:snapToGrid w:val="0"/>
              <w:spacing w:line="300" w:lineRule="exact"/>
              <w:ind w:firstLine="0" w:firstLineChars="0"/>
              <w:rPr>
                <w:rFonts w:eastAsia="仿宋_GB2312"/>
                <w:color w:val="000000"/>
                <w:kern w:val="0"/>
                <w:sz w:val="21"/>
                <w:szCs w:val="21"/>
              </w:rPr>
            </w:pPr>
            <w:r>
              <w:rPr>
                <w:rFonts w:eastAsia="仿宋_GB2312"/>
                <w:color w:val="000000"/>
                <w:kern w:val="0"/>
                <w:sz w:val="21"/>
                <w:szCs w:val="21"/>
              </w:rPr>
              <w:t>吴村人工潜流湿地，占地约100公顷，位于程辛庄村以东、王庄子村以西堤内用地采用塘—床—表组合工艺，处理上游来水。</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56000.0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23" w:hRule="atLeast"/>
        </w:trPr>
        <w:tc>
          <w:tcPr>
            <w:tcW w:w="549"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8</w:t>
            </w:r>
          </w:p>
        </w:tc>
        <w:tc>
          <w:tcPr>
            <w:tcW w:w="82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人工湿地工程</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百家湾表流湿地建设工程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百家湾排干渠堤内河道改建</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2017</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03" w:type="dxa"/>
            <w:vAlign w:val="center"/>
          </w:tcPr>
          <w:p>
            <w:pPr>
              <w:widowControl/>
              <w:snapToGrid w:val="0"/>
              <w:spacing w:line="300" w:lineRule="exact"/>
              <w:ind w:firstLine="0" w:firstLineChars="0"/>
              <w:rPr>
                <w:rFonts w:eastAsia="仿宋_GB2312"/>
                <w:color w:val="000000"/>
                <w:kern w:val="0"/>
                <w:sz w:val="21"/>
                <w:szCs w:val="21"/>
              </w:rPr>
            </w:pPr>
            <w:r>
              <w:rPr>
                <w:rFonts w:eastAsia="仿宋_GB2312"/>
                <w:color w:val="000000"/>
                <w:kern w:val="0"/>
                <w:sz w:val="21"/>
                <w:szCs w:val="21"/>
              </w:rPr>
              <w:t>百家湾表流湿地，占地约2公顷，位于百家湾排干渠堤内，采用调蓄池-表流湿地工艺，处理百家湾排干渠上游来水。</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1500.0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百家湾排干渠</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869" w:hRule="atLeast"/>
        </w:trPr>
        <w:tc>
          <w:tcPr>
            <w:tcW w:w="549"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9</w:t>
            </w:r>
          </w:p>
        </w:tc>
        <w:tc>
          <w:tcPr>
            <w:tcW w:w="82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人工湿地工程</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荣各庄表流湿地建设工程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荣各庄排干渠堤外河道改建</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03" w:type="dxa"/>
            <w:vAlign w:val="center"/>
          </w:tcPr>
          <w:p>
            <w:pPr>
              <w:widowControl/>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荣各庄表流湿地，占地约2公顷，位于荣各庄排干渠堤外，采用调蓄池-表流湿地工艺，处理荣各庄排干渠上游来水</w:t>
            </w:r>
            <w:r>
              <w:rPr>
                <w:rFonts w:hint="eastAsia" w:eastAsia="仿宋_GB2312"/>
                <w:color w:val="000000"/>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1500.0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荣各庄排干渠</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939" w:hRule="atLeast"/>
        </w:trPr>
        <w:tc>
          <w:tcPr>
            <w:tcW w:w="549"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10</w:t>
            </w:r>
          </w:p>
        </w:tc>
        <w:tc>
          <w:tcPr>
            <w:tcW w:w="82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人工湿地工程</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商汪甸表流湿地建设工程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商汪甸排干渠堤外河道改建</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03" w:type="dxa"/>
            <w:vAlign w:val="center"/>
          </w:tcPr>
          <w:p>
            <w:pPr>
              <w:widowControl/>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商汪甸表流湿地，占地约2公顷，位于荣各庄排干渠堤外，采用调蓄池-表流湿地工艺，处理商汪甸排干渠上游来水</w:t>
            </w:r>
            <w:r>
              <w:rPr>
                <w:rFonts w:hint="eastAsia" w:eastAsia="仿宋_GB2312"/>
                <w:color w:val="000000"/>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1500.0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商汪甸排干渠</w:t>
            </w:r>
          </w:p>
        </w:tc>
        <w:tc>
          <w:tcPr>
            <w:tcW w:w="577" w:type="dxa"/>
            <w:vAlign w:val="center"/>
          </w:tcPr>
          <w:p>
            <w:pPr>
              <w:widowControl/>
              <w:snapToGrid w:val="0"/>
              <w:spacing w:line="300" w:lineRule="exact"/>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135" w:hRule="atLeast"/>
        </w:trPr>
        <w:tc>
          <w:tcPr>
            <w:tcW w:w="549" w:type="dxa"/>
            <w:gridSpan w:val="2"/>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11</w:t>
            </w:r>
          </w:p>
        </w:tc>
        <w:tc>
          <w:tcPr>
            <w:tcW w:w="82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81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人工湿地工程</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大套桥河流表流湿地建设工程</w:t>
            </w:r>
          </w:p>
        </w:tc>
        <w:tc>
          <w:tcPr>
            <w:tcW w:w="1132"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大套桥以西堤内用地</w:t>
            </w:r>
          </w:p>
        </w:tc>
        <w:tc>
          <w:tcPr>
            <w:tcW w:w="876"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2018</w:t>
            </w:r>
            <w:r>
              <w:rPr>
                <w:rFonts w:hint="eastAsia" w:eastAsia="仿宋_GB2312"/>
                <w:color w:val="000000"/>
                <w:kern w:val="0"/>
                <w:sz w:val="21"/>
                <w:szCs w:val="21"/>
              </w:rPr>
              <w:t>年</w:t>
            </w:r>
          </w:p>
        </w:tc>
        <w:tc>
          <w:tcPr>
            <w:tcW w:w="1135"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803" w:type="dxa"/>
            <w:vAlign w:val="center"/>
          </w:tcPr>
          <w:p>
            <w:pPr>
              <w:widowControl/>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大套桥河流表流湿地，占地约100公顷位于大套桥监测断面以西堤内用地，采用根孔表流湿地工艺，合理利用河漫滩空间进行水质净化</w:t>
            </w:r>
            <w:r>
              <w:rPr>
                <w:rFonts w:hint="eastAsia" w:eastAsia="仿宋_GB2312"/>
                <w:color w:val="000000"/>
                <w:kern w:val="0"/>
                <w:sz w:val="21"/>
                <w:szCs w:val="21"/>
              </w:rPr>
              <w:t>。</w:t>
            </w:r>
          </w:p>
        </w:tc>
        <w:tc>
          <w:tcPr>
            <w:tcW w:w="1274"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 xml:space="preserve">13000.0 </w:t>
            </w:r>
          </w:p>
        </w:tc>
        <w:tc>
          <w:tcPr>
            <w:tcW w:w="988" w:type="dxa"/>
            <w:vAlign w:val="center"/>
          </w:tcPr>
          <w:p>
            <w:pPr>
              <w:widowControl/>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w:t>
            </w:r>
          </w:p>
        </w:tc>
        <w:tc>
          <w:tcPr>
            <w:tcW w:w="577" w:type="dxa"/>
            <w:vAlign w:val="center"/>
          </w:tcPr>
          <w:p>
            <w:pPr>
              <w:widowControl/>
              <w:snapToGrid w:val="0"/>
              <w:spacing w:line="300" w:lineRule="exact"/>
              <w:ind w:firstLine="0" w:firstLineChars="0"/>
              <w:jc w:val="center"/>
              <w:rPr>
                <w:rFonts w:eastAsia="仿宋_GB2312"/>
                <w:b/>
                <w:color w:val="000000"/>
                <w:kern w:val="0"/>
                <w:sz w:val="21"/>
                <w:szCs w:val="21"/>
              </w:rPr>
            </w:pPr>
          </w:p>
        </w:tc>
      </w:tr>
    </w:tbl>
    <w:p>
      <w:pPr>
        <w:pStyle w:val="4"/>
        <w:spacing w:line="14" w:lineRule="exact"/>
        <w:ind w:firstLine="643"/>
      </w:pPr>
      <w:bookmarkStart w:id="6" w:name="_Toc23784093"/>
    </w:p>
    <w:p>
      <w:pPr>
        <w:pStyle w:val="4"/>
        <w:spacing w:line="14" w:lineRule="exact"/>
        <w:ind w:firstLine="643"/>
        <w:sectPr>
          <w:headerReference r:id="rId11" w:type="first"/>
          <w:footerReference r:id="rId14" w:type="first"/>
          <w:headerReference r:id="rId9" w:type="default"/>
          <w:footerReference r:id="rId12" w:type="default"/>
          <w:headerReference r:id="rId10" w:type="even"/>
          <w:footerReference r:id="rId13" w:type="even"/>
          <w:pgSz w:w="16838" w:h="11906" w:orient="landscape"/>
          <w:pgMar w:top="1531" w:right="2098" w:bottom="1531" w:left="1474" w:header="851" w:footer="851" w:gutter="0"/>
          <w:pgNumType w:start="119"/>
          <w:cols w:space="720" w:num="1"/>
          <w:docGrid w:type="linesAndChars" w:linePitch="381" w:charSpace="0"/>
        </w:sectPr>
      </w:pPr>
    </w:p>
    <w:p>
      <w:pPr>
        <w:pStyle w:val="4"/>
        <w:spacing w:line="590" w:lineRule="exact"/>
        <w:ind w:firstLine="643"/>
      </w:pPr>
      <w:r>
        <w:t>5.3.3拟取消工程项目</w:t>
      </w:r>
      <w:bookmarkEnd w:id="6"/>
    </w:p>
    <w:p>
      <w:pPr>
        <w:adjustRightInd w:val="0"/>
        <w:snapToGrid w:val="0"/>
        <w:spacing w:line="590" w:lineRule="exact"/>
        <w:ind w:firstLine="624"/>
        <w:rPr>
          <w:rFonts w:eastAsia="仿宋_GB2312"/>
          <w:spacing w:val="-4"/>
          <w:sz w:val="32"/>
          <w:szCs w:val="32"/>
        </w:rPr>
      </w:pPr>
      <w:r>
        <w:rPr>
          <w:rFonts w:eastAsia="仿宋_GB2312"/>
          <w:spacing w:val="-4"/>
          <w:sz w:val="32"/>
          <w:szCs w:val="32"/>
        </w:rPr>
        <w:t>由于现状因素等条件变化，原达标方案中未完成的部分工程已不具备实施必要性，拟取消未完成9项工程，主要涵盖城区生活污水处理、污水处理厂尾水深度处理、污泥集中处理处置工程、农村生活污水处理和河道生态修复与保护等工程，主要原因如下。</w:t>
      </w:r>
    </w:p>
    <w:p>
      <w:pPr>
        <w:adjustRightInd w:val="0"/>
        <w:snapToGrid w:val="0"/>
        <w:spacing w:line="590" w:lineRule="exact"/>
        <w:ind w:firstLine="640"/>
        <w:rPr>
          <w:rFonts w:eastAsia="仿宋_GB2312"/>
          <w:sz w:val="32"/>
          <w:szCs w:val="32"/>
        </w:rPr>
      </w:pPr>
      <w:r>
        <w:rPr>
          <w:rFonts w:eastAsia="仿宋_GB2312"/>
          <w:sz w:val="32"/>
          <w:szCs w:val="32"/>
        </w:rPr>
        <w:t>（1）华堂高尔夫污水处理厂（即燕郊第五污水处理厂）建设工程</w:t>
      </w:r>
    </w:p>
    <w:p>
      <w:pPr>
        <w:adjustRightInd w:val="0"/>
        <w:snapToGrid w:val="0"/>
        <w:spacing w:line="590" w:lineRule="exact"/>
        <w:ind w:firstLine="640"/>
        <w:rPr>
          <w:rFonts w:eastAsia="仿宋_GB2312"/>
          <w:sz w:val="32"/>
          <w:szCs w:val="32"/>
        </w:rPr>
      </w:pPr>
      <w:r>
        <w:rPr>
          <w:rFonts w:eastAsia="仿宋_GB2312"/>
          <w:sz w:val="32"/>
          <w:szCs w:val="32"/>
        </w:rPr>
        <w:t>此项目为远期谋划，按照潮白河水质达标方案测算，到2020年燕郊地区生活污水产生量约为18.1万吨/日。三河龙源水业有限公司污水处理厂扩容提标改造工程、燕郊北污水处理厂新建工程竣工后，燕郊地区污水处理能力可达到20万吨/日，可满足目前及今后几年污水处理需求。根据相关规划和实际需求，故建议取消该项目。</w:t>
      </w:r>
    </w:p>
    <w:p>
      <w:pPr>
        <w:adjustRightInd w:val="0"/>
        <w:snapToGrid w:val="0"/>
        <w:spacing w:line="590" w:lineRule="exact"/>
        <w:ind w:firstLine="640"/>
        <w:rPr>
          <w:rFonts w:eastAsia="仿宋_GB2312"/>
          <w:sz w:val="32"/>
          <w:szCs w:val="32"/>
        </w:rPr>
      </w:pPr>
      <w:r>
        <w:rPr>
          <w:rFonts w:eastAsia="仿宋_GB2312"/>
          <w:sz w:val="32"/>
          <w:szCs w:val="32"/>
        </w:rPr>
        <w:t>（2）燕郊第二污水处理厂（燕郊西污水处理厂）中水深度处理工程</w:t>
      </w:r>
    </w:p>
    <w:p>
      <w:pPr>
        <w:adjustRightInd w:val="0"/>
        <w:snapToGrid w:val="0"/>
        <w:spacing w:line="590" w:lineRule="exact"/>
        <w:ind w:firstLine="640"/>
        <w:rPr>
          <w:rFonts w:eastAsia="仿宋_GB2312"/>
          <w:sz w:val="32"/>
          <w:szCs w:val="32"/>
        </w:rPr>
      </w:pPr>
      <w:r>
        <w:rPr>
          <w:rFonts w:eastAsia="仿宋_GB2312"/>
          <w:sz w:val="32"/>
          <w:szCs w:val="32"/>
        </w:rPr>
        <w:t>目前，燕郊西污水处理厂已实施扩容提标改造工程，其提标改造工程污水处理工艺中包含加药消毒环节，对中水进行深度处理，处理后水质可达到京B标准，建议取消该项目。</w:t>
      </w:r>
    </w:p>
    <w:p>
      <w:pPr>
        <w:adjustRightInd w:val="0"/>
        <w:snapToGrid w:val="0"/>
        <w:spacing w:line="590" w:lineRule="exact"/>
        <w:ind w:firstLine="640"/>
        <w:rPr>
          <w:rFonts w:eastAsia="仿宋_GB2312"/>
          <w:sz w:val="32"/>
          <w:szCs w:val="32"/>
        </w:rPr>
      </w:pPr>
      <w:r>
        <w:rPr>
          <w:rFonts w:eastAsia="仿宋_GB2312"/>
          <w:sz w:val="32"/>
          <w:szCs w:val="32"/>
        </w:rPr>
        <w:t>（3）燕郊第四污水处理厂（燕郊北污水处理厂）中水深度处理工程</w:t>
      </w:r>
    </w:p>
    <w:p>
      <w:pPr>
        <w:adjustRightInd w:val="0"/>
        <w:snapToGrid w:val="0"/>
        <w:spacing w:line="590" w:lineRule="exact"/>
        <w:ind w:firstLine="640"/>
        <w:rPr>
          <w:rFonts w:eastAsia="仿宋_GB2312"/>
          <w:sz w:val="32"/>
          <w:szCs w:val="32"/>
        </w:rPr>
      </w:pPr>
      <w:r>
        <w:rPr>
          <w:rFonts w:eastAsia="仿宋_GB2312"/>
          <w:sz w:val="32"/>
          <w:szCs w:val="32"/>
        </w:rPr>
        <w:t>目前，燕郊北污水处理厂已建设完成，污水处理工艺包含加药消毒环节，对中水进行深度处理，处理后水质达到京B标准，建议取消该项目。</w:t>
      </w:r>
    </w:p>
    <w:p>
      <w:pPr>
        <w:adjustRightInd w:val="0"/>
        <w:snapToGrid w:val="0"/>
        <w:spacing w:line="590" w:lineRule="exact"/>
        <w:ind w:firstLine="640"/>
        <w:rPr>
          <w:rFonts w:eastAsia="仿宋_GB2312"/>
          <w:sz w:val="32"/>
          <w:szCs w:val="32"/>
        </w:rPr>
      </w:pPr>
      <w:r>
        <w:rPr>
          <w:rFonts w:eastAsia="仿宋_GB2312"/>
          <w:sz w:val="32"/>
          <w:szCs w:val="32"/>
        </w:rPr>
        <w:t>（4）凌家吴、河南吴农村生活污水处理工程2项</w:t>
      </w:r>
    </w:p>
    <w:p>
      <w:pPr>
        <w:adjustRightInd w:val="0"/>
        <w:snapToGrid w:val="0"/>
        <w:spacing w:line="590" w:lineRule="exact"/>
        <w:ind w:firstLine="640"/>
        <w:rPr>
          <w:rFonts w:eastAsia="仿宋_GB2312"/>
          <w:sz w:val="32"/>
          <w:szCs w:val="32"/>
        </w:rPr>
      </w:pPr>
      <w:r>
        <w:rPr>
          <w:rFonts w:eastAsia="仿宋_GB2312"/>
          <w:sz w:val="32"/>
          <w:szCs w:val="32"/>
        </w:rPr>
        <w:t>目前，凌家吴、河南吴拟搬迁上楼，原农村生活污水处理工程失去原建设意义，建议取消凌家吴农村生活污水处理工程和河南吴农村生活污水处理工程两个项目。</w:t>
      </w:r>
    </w:p>
    <w:p>
      <w:pPr>
        <w:adjustRightInd w:val="0"/>
        <w:snapToGrid w:val="0"/>
        <w:spacing w:line="590" w:lineRule="exact"/>
        <w:ind w:firstLine="640"/>
        <w:rPr>
          <w:rFonts w:eastAsia="仿宋_GB2312"/>
          <w:sz w:val="32"/>
          <w:szCs w:val="32"/>
        </w:rPr>
      </w:pPr>
      <w:r>
        <w:rPr>
          <w:rFonts w:eastAsia="仿宋_GB2312"/>
          <w:sz w:val="32"/>
          <w:szCs w:val="32"/>
        </w:rPr>
        <w:t>（5）燕郊第二污水处理厂（燕郊西污水处理厂）尾水湿地</w:t>
      </w:r>
    </w:p>
    <w:p>
      <w:pPr>
        <w:adjustRightInd w:val="0"/>
        <w:snapToGrid w:val="0"/>
        <w:spacing w:line="590" w:lineRule="exact"/>
        <w:ind w:firstLine="640"/>
        <w:rPr>
          <w:rFonts w:eastAsia="仿宋_GB2312"/>
          <w:sz w:val="32"/>
          <w:szCs w:val="32"/>
        </w:rPr>
      </w:pPr>
      <w:r>
        <w:rPr>
          <w:rFonts w:eastAsia="仿宋_GB2312"/>
          <w:sz w:val="32"/>
          <w:szCs w:val="32"/>
        </w:rPr>
        <w:t>目前，燕郊西污水处理厂出水已达到京B标准，地表水准</w:t>
      </w:r>
      <w:r>
        <w:rPr>
          <w:sz w:val="32"/>
          <w:szCs w:val="32"/>
        </w:rPr>
        <w:t>Ⅳ</w:t>
      </w:r>
      <w:r>
        <w:rPr>
          <w:rFonts w:eastAsia="仿宋_GB2312"/>
          <w:sz w:val="32"/>
          <w:szCs w:val="32"/>
        </w:rPr>
        <w:t>标准，尾水湿地已无建设必要，建议取消该项目。</w:t>
      </w:r>
    </w:p>
    <w:p>
      <w:pPr>
        <w:adjustRightInd w:val="0"/>
        <w:snapToGrid w:val="0"/>
        <w:spacing w:line="590" w:lineRule="exact"/>
        <w:ind w:firstLine="640"/>
        <w:rPr>
          <w:rFonts w:hint="eastAsia" w:eastAsia="仿宋_GB2312"/>
          <w:sz w:val="32"/>
          <w:szCs w:val="32"/>
        </w:rPr>
      </w:pPr>
      <w:r>
        <w:rPr>
          <w:rFonts w:eastAsia="仿宋_GB2312"/>
          <w:sz w:val="32"/>
          <w:szCs w:val="32"/>
        </w:rPr>
        <w:t>（6）</w:t>
      </w:r>
      <w:r>
        <w:rPr>
          <w:rFonts w:eastAsia="仿宋_GB2312"/>
          <w:spacing w:val="-6"/>
          <w:sz w:val="32"/>
          <w:szCs w:val="32"/>
        </w:rPr>
        <w:t>燕郊北污水处理厂（即燕郊第四污水处理厂）尾水湿地</w:t>
      </w:r>
    </w:p>
    <w:p>
      <w:pPr>
        <w:adjustRightInd w:val="0"/>
        <w:snapToGrid w:val="0"/>
        <w:spacing w:line="590" w:lineRule="exact"/>
        <w:ind w:firstLine="640"/>
        <w:rPr>
          <w:rFonts w:eastAsia="仿宋_GB2312"/>
          <w:sz w:val="32"/>
          <w:szCs w:val="32"/>
        </w:rPr>
      </w:pPr>
      <w:r>
        <w:rPr>
          <w:rFonts w:eastAsia="仿宋_GB2312"/>
          <w:sz w:val="32"/>
          <w:szCs w:val="32"/>
        </w:rPr>
        <w:t>目前，燕郊北污水处理厂出水已达到京B标准，地表水准</w:t>
      </w:r>
      <w:r>
        <w:rPr>
          <w:sz w:val="32"/>
          <w:szCs w:val="32"/>
        </w:rPr>
        <w:t>Ⅳ</w:t>
      </w:r>
      <w:r>
        <w:rPr>
          <w:rFonts w:eastAsia="仿宋_GB2312"/>
          <w:sz w:val="32"/>
          <w:szCs w:val="32"/>
        </w:rPr>
        <w:t>标准，尾水湿地已无建设必要，建议取消该项目。</w:t>
      </w:r>
    </w:p>
    <w:p>
      <w:pPr>
        <w:adjustRightInd w:val="0"/>
        <w:snapToGrid w:val="0"/>
        <w:spacing w:line="590" w:lineRule="exact"/>
        <w:ind w:firstLine="640"/>
        <w:rPr>
          <w:rFonts w:hint="eastAsia" w:eastAsia="仿宋_GB2312"/>
          <w:sz w:val="32"/>
          <w:szCs w:val="32"/>
        </w:rPr>
      </w:pPr>
      <w:r>
        <w:rPr>
          <w:rFonts w:eastAsia="仿宋_GB2312"/>
          <w:sz w:val="32"/>
          <w:szCs w:val="32"/>
        </w:rPr>
        <w:t>（7）华堂高尔夫污水处理厂（即燕郊第五污水处理厂）尾水湿地</w:t>
      </w:r>
    </w:p>
    <w:p>
      <w:pPr>
        <w:adjustRightInd w:val="0"/>
        <w:snapToGrid w:val="0"/>
        <w:spacing w:line="590" w:lineRule="exact"/>
        <w:ind w:firstLine="640"/>
        <w:rPr>
          <w:rFonts w:eastAsia="仿宋_GB2312"/>
          <w:sz w:val="32"/>
          <w:szCs w:val="32"/>
        </w:rPr>
      </w:pPr>
      <w:r>
        <w:rPr>
          <w:rFonts w:eastAsia="仿宋_GB2312"/>
          <w:sz w:val="32"/>
          <w:szCs w:val="32"/>
        </w:rPr>
        <w:t>目前，燕郊地区污水处理能力已满足需求，华堂高尔夫污水处理厂已无建设必要，其尾水湿地由于无主体，亦无建设必要，建议取消该项目。</w:t>
      </w:r>
    </w:p>
    <w:p>
      <w:pPr>
        <w:adjustRightInd w:val="0"/>
        <w:snapToGrid w:val="0"/>
        <w:spacing w:line="590" w:lineRule="exact"/>
        <w:ind w:firstLine="640"/>
        <w:rPr>
          <w:rFonts w:eastAsia="仿宋_GB2312"/>
          <w:sz w:val="32"/>
          <w:szCs w:val="32"/>
        </w:rPr>
      </w:pPr>
      <w:r>
        <w:rPr>
          <w:rFonts w:eastAsia="仿宋_GB2312"/>
          <w:sz w:val="32"/>
          <w:szCs w:val="32"/>
        </w:rPr>
        <w:t>（8）燕郊污泥集中处理处置工程</w:t>
      </w:r>
    </w:p>
    <w:p>
      <w:pPr>
        <w:adjustRightInd w:val="0"/>
        <w:snapToGrid w:val="0"/>
        <w:spacing w:line="590" w:lineRule="exact"/>
        <w:ind w:firstLine="640"/>
        <w:rPr>
          <w:rFonts w:eastAsia="仿宋_GB2312"/>
          <w:sz w:val="32"/>
          <w:szCs w:val="32"/>
        </w:rPr>
      </w:pPr>
      <w:r>
        <w:rPr>
          <w:rFonts w:eastAsia="仿宋_GB2312"/>
          <w:sz w:val="32"/>
          <w:szCs w:val="32"/>
        </w:rPr>
        <w:t>目前，燕郊地区污水处理厂产生的污泥均由污泥车外运至燕新建材公司进行协同焚烧处理，同时三河市正在建设垃圾焚烧厂，待垃圾焚烧厂建成后，将运至垃圾焚烧厂进行焚烧处理，无需单独建设污泥集中处置的工程，故建议取消该项目。</w:t>
      </w:r>
    </w:p>
    <w:p>
      <w:pPr>
        <w:pStyle w:val="4"/>
        <w:spacing w:line="590" w:lineRule="exact"/>
        <w:ind w:firstLine="643"/>
      </w:pPr>
      <w:bookmarkStart w:id="7" w:name="_Toc23784094"/>
      <w:r>
        <w:t>5.3.4拟调整工程项目</w:t>
      </w:r>
      <w:bookmarkEnd w:id="7"/>
    </w:p>
    <w:p>
      <w:pPr>
        <w:adjustRightInd w:val="0"/>
        <w:snapToGrid w:val="0"/>
        <w:spacing w:line="590" w:lineRule="exact"/>
        <w:ind w:firstLine="608"/>
        <w:rPr>
          <w:spacing w:val="-8"/>
        </w:rPr>
      </w:pPr>
      <w:r>
        <w:rPr>
          <w:rFonts w:eastAsia="仿宋_GB2312"/>
          <w:spacing w:val="-8"/>
          <w:sz w:val="32"/>
          <w:szCs w:val="32"/>
        </w:rPr>
        <w:t>由于现状问题与环境因素等条件变化，原达标方案中未完成的部分工程需要调整建设内容，拟调整6项工程，主要涉及流域河道人工湿地建设。将潮白河滩涂地表流功能湿地工程、吴村人工潜流湿地建设工程、大套桥河流表流湿地建设工程、百家湾表流湿地建设工程、荣各庄表流湿地建设工程、商汪甸表流湿地建设工程调整为在潮白河全流域打造河道自然生态系统。将燕郊污泥集中处理处置工程调整为将污泥脱水干化处理后运送至焚烧厂进行处理。</w:t>
      </w:r>
    </w:p>
    <w:p>
      <w:pPr>
        <w:pStyle w:val="2"/>
        <w:adjustRightInd w:val="0"/>
        <w:snapToGrid w:val="0"/>
        <w:spacing w:line="580" w:lineRule="exact"/>
        <w:ind w:firstLine="640"/>
        <w:jc w:val="both"/>
        <w:rPr>
          <w:rFonts w:ascii="黑体" w:hAnsi="黑体"/>
          <w:szCs w:val="32"/>
        </w:rPr>
      </w:pPr>
      <w:bookmarkStart w:id="8" w:name="_Toc23784095"/>
      <w:r>
        <w:rPr>
          <w:rFonts w:ascii="黑体" w:hAnsi="黑体"/>
          <w:szCs w:val="32"/>
        </w:rPr>
        <w:t>六、水环境问题识别</w:t>
      </w:r>
      <w:bookmarkEnd w:id="8"/>
      <w:bookmarkStart w:id="9" w:name="_Toc454500538"/>
      <w:bookmarkEnd w:id="9"/>
      <w:bookmarkStart w:id="10" w:name="_Toc454500534"/>
      <w:bookmarkEnd w:id="10"/>
      <w:bookmarkStart w:id="11" w:name="_Toc454500796"/>
      <w:bookmarkEnd w:id="11"/>
      <w:bookmarkStart w:id="12" w:name="_Toc454500666"/>
      <w:bookmarkEnd w:id="12"/>
      <w:bookmarkStart w:id="13" w:name="_Toc454500795"/>
      <w:bookmarkEnd w:id="13"/>
      <w:bookmarkStart w:id="14" w:name="_Toc454500665"/>
      <w:bookmarkEnd w:id="14"/>
      <w:bookmarkStart w:id="15" w:name="_Toc454500537"/>
      <w:bookmarkEnd w:id="15"/>
      <w:bookmarkStart w:id="16" w:name="_Toc454500794"/>
      <w:bookmarkEnd w:id="16"/>
      <w:bookmarkStart w:id="17" w:name="_Toc454500664"/>
      <w:bookmarkEnd w:id="17"/>
      <w:bookmarkStart w:id="18" w:name="_Toc454500536"/>
      <w:bookmarkEnd w:id="18"/>
      <w:bookmarkStart w:id="19" w:name="_Toc454500793"/>
      <w:bookmarkEnd w:id="19"/>
      <w:bookmarkStart w:id="20" w:name="_Toc454500663"/>
      <w:bookmarkEnd w:id="20"/>
      <w:bookmarkStart w:id="21" w:name="_Toc454500535"/>
      <w:bookmarkEnd w:id="21"/>
      <w:bookmarkStart w:id="22" w:name="_Toc454500792"/>
      <w:bookmarkEnd w:id="22"/>
      <w:bookmarkStart w:id="23" w:name="_Toc454500662"/>
      <w:bookmarkEnd w:id="23"/>
      <w:bookmarkStart w:id="24" w:name="_Toc22078"/>
      <w:bookmarkStart w:id="25" w:name="_Toc31319"/>
      <w:bookmarkStart w:id="26" w:name="_Toc19277"/>
      <w:bookmarkStart w:id="27" w:name="_Toc25149"/>
      <w:bookmarkStart w:id="28" w:name="_Toc460596347"/>
    </w:p>
    <w:p>
      <w:pPr>
        <w:pStyle w:val="3"/>
        <w:spacing w:line="580" w:lineRule="exact"/>
        <w:ind w:left="643" w:firstLine="0" w:firstLineChars="0"/>
        <w:rPr>
          <w:rFonts w:eastAsia="楷体_GB2312"/>
        </w:rPr>
      </w:pPr>
      <w:bookmarkStart w:id="29" w:name="_Toc23784096"/>
      <w:r>
        <w:rPr>
          <w:rFonts w:eastAsia="楷体_GB2312"/>
        </w:rPr>
        <w:t>6.1北运河等汇入支流对潮白河水质存在影响</w:t>
      </w:r>
      <w:bookmarkEnd w:id="24"/>
      <w:bookmarkEnd w:id="25"/>
      <w:bookmarkEnd w:id="26"/>
      <w:bookmarkEnd w:id="27"/>
      <w:bookmarkEnd w:id="28"/>
      <w:bookmarkEnd w:id="29"/>
    </w:p>
    <w:p>
      <w:pPr>
        <w:adjustRightInd w:val="0"/>
        <w:snapToGrid w:val="0"/>
        <w:spacing w:after="114" w:afterLines="30" w:line="580" w:lineRule="exact"/>
        <w:ind w:firstLine="640"/>
        <w:rPr>
          <w:rFonts w:eastAsia="仿宋_GB2312"/>
          <w:sz w:val="32"/>
          <w:szCs w:val="32"/>
        </w:rPr>
      </w:pPr>
      <w:r>
        <w:rPr>
          <w:rFonts w:eastAsia="仿宋_GB2312"/>
          <w:sz w:val="32"/>
          <w:szCs w:val="32"/>
        </w:rPr>
        <w:t>北运河清淤期、行洪期调水期间，成为香河潮白河段主要来水，北运河来水占潮白河水量70%。据廊坊市水文局资料，2015年调水约7530万立方米进入潮白河，每年调水量大致相同。吴村、大套桥两个国控断面均位于北运河汇入口下游，根据水质分析结果，北运河水质对国控断面水质具有明显影响。此外，在三河</w:t>
      </w:r>
      <w:r>
        <w:rPr>
          <w:rFonts w:hint="eastAsia" w:eastAsia="仿宋_GB2312"/>
          <w:sz w:val="32"/>
          <w:szCs w:val="32"/>
        </w:rPr>
        <w:t>-</w:t>
      </w:r>
      <w:r>
        <w:rPr>
          <w:rFonts w:eastAsia="仿宋_GB2312"/>
          <w:sz w:val="32"/>
          <w:szCs w:val="32"/>
        </w:rPr>
        <w:t>大厂境偏北由右岸北京通州汇入潮白河的运潮减河水质也为劣V类，2015年年均净流量为2.45立方米/秒，年均汇入潮白</w:t>
      </w:r>
      <w:r>
        <w:rPr>
          <w:rFonts w:hint="eastAsia" w:eastAsia="仿宋_GB2312"/>
          <w:sz w:val="32"/>
          <w:szCs w:val="32"/>
        </w:rPr>
        <w:t>河</w:t>
      </w:r>
      <w:r>
        <w:rPr>
          <w:rFonts w:eastAsia="仿宋_GB2312"/>
          <w:sz w:val="32"/>
          <w:szCs w:val="32"/>
        </w:rPr>
        <w:t>水量达到7726万立方米。</w:t>
      </w:r>
    </w:p>
    <w:p>
      <w:pPr>
        <w:spacing w:line="240" w:lineRule="auto"/>
        <w:ind w:firstLine="0" w:firstLineChars="0"/>
        <w:jc w:val="center"/>
        <w:rPr>
          <w:rFonts w:eastAsia="仿宋_GB2312"/>
          <w:sz w:val="32"/>
          <w:szCs w:val="32"/>
        </w:rPr>
      </w:pPr>
      <w:r>
        <w:drawing>
          <wp:inline distT="0" distB="0" distL="114300" distR="114300">
            <wp:extent cx="5436235" cy="1483360"/>
            <wp:effectExtent l="0" t="0" r="12065" b="2540"/>
            <wp:docPr id="5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8"/>
                    <pic:cNvPicPr>
                      <a:picLocks noChangeAspect="1"/>
                    </pic:cNvPicPr>
                  </pic:nvPicPr>
                  <pic:blipFill>
                    <a:blip r:embed="rId36"/>
                    <a:stretch>
                      <a:fillRect/>
                    </a:stretch>
                  </pic:blipFill>
                  <pic:spPr>
                    <a:xfrm>
                      <a:off x="0" y="0"/>
                      <a:ext cx="5436235" cy="1483360"/>
                    </a:xfrm>
                    <a:prstGeom prst="rect">
                      <a:avLst/>
                    </a:prstGeom>
                    <a:noFill/>
                    <a:ln w="9525">
                      <a:noFill/>
                    </a:ln>
                  </pic:spPr>
                </pic:pic>
              </a:graphicData>
            </a:graphic>
          </wp:inline>
        </w:drawing>
      </w:r>
    </w:p>
    <w:p>
      <w:pPr>
        <w:ind w:firstLine="0" w:firstLineChars="0"/>
        <w:jc w:val="center"/>
        <w:rPr>
          <w:rFonts w:eastAsia="仿宋_GB2312"/>
          <w:b/>
        </w:rPr>
      </w:pPr>
      <w:r>
        <w:rPr>
          <w:rFonts w:eastAsia="仿宋_GB2312"/>
          <w:b/>
        </w:rPr>
        <w:t>图6</w:t>
      </w:r>
      <w:r>
        <w:rPr>
          <w:rFonts w:hint="eastAsia" w:eastAsia="仿宋_GB2312"/>
          <w:szCs w:val="24"/>
        </w:rPr>
        <w:t>-</w:t>
      </w:r>
      <w:r>
        <w:rPr>
          <w:rFonts w:eastAsia="仿宋_GB2312"/>
          <w:b/>
        </w:rPr>
        <w:t>1　北运河汇入潮白河口上游情况</w:t>
      </w:r>
    </w:p>
    <w:p>
      <w:pPr>
        <w:pStyle w:val="3"/>
        <w:spacing w:line="590" w:lineRule="exact"/>
        <w:ind w:left="643" w:firstLine="0" w:firstLineChars="0"/>
        <w:rPr>
          <w:rFonts w:eastAsia="楷体_GB2312"/>
        </w:rPr>
      </w:pPr>
      <w:bookmarkStart w:id="30" w:name="_Toc454500799"/>
      <w:bookmarkEnd w:id="30"/>
      <w:bookmarkStart w:id="31" w:name="_Toc454500669"/>
      <w:bookmarkEnd w:id="31"/>
      <w:bookmarkStart w:id="32" w:name="_Toc454500541"/>
      <w:bookmarkEnd w:id="32"/>
      <w:bookmarkStart w:id="33" w:name="_Toc23784097"/>
      <w:r>
        <w:rPr>
          <w:rFonts w:eastAsia="楷体_GB2312"/>
        </w:rPr>
        <w:t>6.2截污管网有待完善、污水处理厂进水负荷不足</w:t>
      </w:r>
      <w:bookmarkEnd w:id="33"/>
    </w:p>
    <w:p>
      <w:pPr>
        <w:adjustRightInd w:val="0"/>
        <w:snapToGrid w:val="0"/>
        <w:spacing w:line="590" w:lineRule="exact"/>
        <w:ind w:firstLine="624"/>
        <w:rPr>
          <w:rFonts w:eastAsia="仿宋_GB2312"/>
          <w:spacing w:val="-4"/>
          <w:sz w:val="32"/>
          <w:szCs w:val="32"/>
        </w:rPr>
      </w:pPr>
      <w:r>
        <w:rPr>
          <w:rFonts w:eastAsia="仿宋_GB2312"/>
          <w:spacing w:val="-4"/>
          <w:sz w:val="32"/>
          <w:szCs w:val="32"/>
        </w:rPr>
        <w:t>三河市燕郊镇、燕郊国家高新技术产业开发区与北京市通州相邻，接纳了大量北京市居住人口，目前人口规模约75万，已建成的污水处理厂处理能力虽已满足该地区的生活污水的处理，但是部分污水处理厂处理负荷不高，加之该地区部分污水管网为雨污合流管网，该地区的生活污水还未能达到全收集全处理。</w:t>
      </w:r>
    </w:p>
    <w:p>
      <w:pPr>
        <w:adjustRightInd w:val="0"/>
        <w:snapToGrid w:val="0"/>
        <w:spacing w:line="590" w:lineRule="exact"/>
        <w:ind w:firstLine="640"/>
        <w:rPr>
          <w:rFonts w:eastAsia="仿宋_GB2312"/>
          <w:sz w:val="32"/>
          <w:szCs w:val="32"/>
        </w:rPr>
      </w:pPr>
      <w:r>
        <w:rPr>
          <w:rFonts w:eastAsia="仿宋_GB2312"/>
          <w:sz w:val="32"/>
          <w:szCs w:val="32"/>
        </w:rPr>
        <w:t>香河县现代污水处理有限公司已建成处理规模为1万吨/日，远期扩建至3万吨/日，但目前进水量为5000立方米/日，已铺设污水管网26公里，处理后的尾水排入田贾庄排干渠。负荷率不足的主要原因是配套管网建设尚未完成，进而导致百家湾排干渠水质较差。</w:t>
      </w:r>
    </w:p>
    <w:p>
      <w:pPr>
        <w:pStyle w:val="3"/>
        <w:spacing w:line="590" w:lineRule="exact"/>
        <w:ind w:left="643" w:firstLine="0" w:firstLineChars="0"/>
        <w:rPr>
          <w:rFonts w:eastAsia="楷体_GB2312"/>
        </w:rPr>
      </w:pPr>
      <w:bookmarkStart w:id="34" w:name="_Toc23969"/>
      <w:bookmarkStart w:id="35" w:name="_Toc9489"/>
      <w:bookmarkStart w:id="36" w:name="_Toc16477"/>
      <w:bookmarkStart w:id="37" w:name="_Toc17983"/>
      <w:bookmarkStart w:id="38" w:name="_Toc460596350"/>
      <w:bookmarkStart w:id="39" w:name="_Toc23784098"/>
      <w:r>
        <w:rPr>
          <w:rFonts w:eastAsia="楷体_GB2312"/>
        </w:rPr>
        <w:t>6.3河堤内分布的农业与农村生活污染源</w:t>
      </w:r>
      <w:bookmarkEnd w:id="34"/>
      <w:bookmarkEnd w:id="35"/>
      <w:bookmarkEnd w:id="36"/>
      <w:bookmarkEnd w:id="37"/>
      <w:bookmarkEnd w:id="38"/>
      <w:r>
        <w:rPr>
          <w:rFonts w:eastAsia="楷体_GB2312"/>
        </w:rPr>
        <w:t>不容忽视</w:t>
      </w:r>
      <w:bookmarkEnd w:id="39"/>
    </w:p>
    <w:p>
      <w:pPr>
        <w:adjustRightInd w:val="0"/>
        <w:snapToGrid w:val="0"/>
        <w:spacing w:line="590" w:lineRule="exact"/>
        <w:ind w:firstLine="640"/>
        <w:rPr>
          <w:rFonts w:eastAsia="仿宋_GB2312"/>
          <w:sz w:val="32"/>
          <w:szCs w:val="32"/>
        </w:rPr>
      </w:pPr>
      <w:r>
        <w:rPr>
          <w:rFonts w:eastAsia="仿宋_GB2312"/>
          <w:sz w:val="32"/>
          <w:szCs w:val="32"/>
        </w:rPr>
        <w:t>三河市（白庙以下）、大厂县潮白河堤内无村庄分布。香河县潮白河堤内存在5个村庄，涉及2个乡镇，1431户，4413人。居民生活污水和垃圾未有效处理处置。同时，堤内的5个村庄存在农业种植活动，主要包括小麦、林地、果树、玉米和蔬菜等。其中小麦种植范围最大，达到2520亩。</w:t>
      </w:r>
    </w:p>
    <w:p>
      <w:pPr>
        <w:adjustRightInd w:val="0"/>
        <w:snapToGrid w:val="0"/>
        <w:spacing w:line="590" w:lineRule="exact"/>
        <w:ind w:firstLine="640"/>
        <w:rPr>
          <w:rFonts w:eastAsia="仿宋_GB2312"/>
          <w:sz w:val="32"/>
          <w:szCs w:val="32"/>
        </w:rPr>
      </w:pPr>
      <w:r>
        <w:rPr>
          <w:rFonts w:eastAsia="仿宋_GB2312"/>
          <w:sz w:val="32"/>
          <w:szCs w:val="32"/>
        </w:rPr>
        <w:t>同时，沿潮白河带是重要的城市发展带，未来体验农业、旅游观光业等发展会带来车流、人流、物流，进而增加污染物排放，增加了水环境保护压力。</w:t>
      </w:r>
    </w:p>
    <w:p>
      <w:pPr>
        <w:pStyle w:val="3"/>
        <w:spacing w:line="590" w:lineRule="exact"/>
        <w:ind w:left="643" w:firstLine="0" w:firstLineChars="0"/>
        <w:rPr>
          <w:rFonts w:eastAsia="楷体_GB2312"/>
        </w:rPr>
      </w:pPr>
      <w:bookmarkStart w:id="40" w:name="_Toc23784099"/>
      <w:r>
        <w:rPr>
          <w:rFonts w:eastAsia="楷体_GB2312"/>
        </w:rPr>
        <w:t>6.4上游截流城镇生活污水仍待有效处理</w:t>
      </w:r>
      <w:bookmarkEnd w:id="40"/>
    </w:p>
    <w:p>
      <w:pPr>
        <w:adjustRightInd w:val="0"/>
        <w:snapToGrid w:val="0"/>
        <w:spacing w:line="590" w:lineRule="exact"/>
        <w:ind w:firstLine="640"/>
        <w:rPr>
          <w:rFonts w:eastAsia="仿宋_GB2312"/>
          <w:sz w:val="32"/>
          <w:szCs w:val="32"/>
        </w:rPr>
      </w:pPr>
      <w:r>
        <w:rPr>
          <w:rFonts w:eastAsia="仿宋_GB2312"/>
          <w:sz w:val="32"/>
          <w:szCs w:val="32"/>
        </w:rPr>
        <w:t>三河市潮白河上游京榆旧路排水口、生态园排水口的生活污水已被截流处理，但此处为临时过渡性污水处理设施，处理设施仅能针对污水中的TP、SS和COD进行处理，对氨氮等无去除作用，临时污水处理设施的排水依然会对潮白河的水质造成较大的影响。</w:t>
      </w:r>
    </w:p>
    <w:p>
      <w:pPr>
        <w:pStyle w:val="3"/>
        <w:spacing w:line="590" w:lineRule="exact"/>
        <w:ind w:left="643" w:firstLine="0" w:firstLineChars="0"/>
        <w:rPr>
          <w:rFonts w:eastAsia="楷体_GB2312"/>
        </w:rPr>
      </w:pPr>
      <w:bookmarkStart w:id="41" w:name="_Toc23784100"/>
      <w:r>
        <w:rPr>
          <w:rFonts w:eastAsia="楷体_GB2312"/>
        </w:rPr>
        <w:t>6.5潮白河下游藻类大量生长问题可能对水质影响</w:t>
      </w:r>
      <w:bookmarkEnd w:id="41"/>
    </w:p>
    <w:p>
      <w:pPr>
        <w:adjustRightInd w:val="0"/>
        <w:snapToGrid w:val="0"/>
        <w:spacing w:line="590" w:lineRule="exact"/>
        <w:ind w:firstLine="640"/>
        <w:rPr>
          <w:rFonts w:eastAsia="仿宋_GB2312"/>
          <w:sz w:val="32"/>
          <w:szCs w:val="32"/>
        </w:rPr>
      </w:pPr>
      <w:r>
        <w:rPr>
          <w:rFonts w:eastAsia="仿宋_GB2312"/>
          <w:sz w:val="32"/>
          <w:szCs w:val="32"/>
        </w:rPr>
        <w:t>潮白河下游出现富营养化状态，夏季高温出现蓝藻大量生长的现象，藻类生长对考核断面大套桥水质产生一定的影响。通过2019年6月水质监测分析，大套桥断面叶绿素浓度为163.6μg/L，藻类生物量高达66mg/L；藻细胞数的结果表明，蓝藻、绿藻和硅藻为优势类群，浮游藻类数量在大套桥达到8千万个/升以上。</w:t>
      </w:r>
    </w:p>
    <w:p>
      <w:pPr>
        <w:pStyle w:val="3"/>
        <w:spacing w:line="590" w:lineRule="exact"/>
        <w:ind w:firstLine="643"/>
        <w:rPr>
          <w:rFonts w:eastAsia="楷体_GB2312"/>
        </w:rPr>
      </w:pPr>
      <w:bookmarkStart w:id="42" w:name="_Toc23784101"/>
      <w:r>
        <w:rPr>
          <w:rFonts w:eastAsia="楷体_GB2312"/>
        </w:rPr>
        <w:t>6.6人工水利设施阻隔潮白河水体自然流动，潮白河生态基流受到影响</w:t>
      </w:r>
      <w:bookmarkEnd w:id="42"/>
    </w:p>
    <w:p>
      <w:pPr>
        <w:adjustRightInd w:val="0"/>
        <w:snapToGrid w:val="0"/>
        <w:spacing w:line="590" w:lineRule="exact"/>
        <w:ind w:firstLine="640"/>
        <w:rPr>
          <w:rFonts w:eastAsia="仿宋_GB2312"/>
          <w:sz w:val="32"/>
          <w:szCs w:val="32"/>
        </w:rPr>
      </w:pPr>
      <w:r>
        <w:rPr>
          <w:rFonts w:eastAsia="仿宋_GB2312"/>
          <w:sz w:val="32"/>
          <w:szCs w:val="32"/>
        </w:rPr>
        <w:t>潮白河香河段建设有2道人工橡胶坝，同时潮白河香河段下游天津也建有闸坝。上述人工水利设施的运行阻隔了潮白河香河段的水体自然流动，水质自然净化受到影响；在农田浇灌季节，为了保证农田的灌溉用水，上述闸坝的调度运行对潮白河生态基流影响较大，潮白河香河段正常的生态需水难以得到保障。</w:t>
      </w:r>
    </w:p>
    <w:p>
      <w:pPr>
        <w:pStyle w:val="2"/>
        <w:spacing w:line="590" w:lineRule="exact"/>
        <w:ind w:left="640" w:firstLine="0" w:firstLineChars="0"/>
      </w:pPr>
      <w:bookmarkStart w:id="43" w:name="_Toc26271"/>
      <w:bookmarkStart w:id="44" w:name="_Toc23784102"/>
      <w:bookmarkStart w:id="45" w:name="_Toc28214"/>
      <w:bookmarkStart w:id="46" w:name="_Toc10798"/>
      <w:bookmarkStart w:id="47" w:name="_Toc24409"/>
      <w:bookmarkStart w:id="48" w:name="_Toc460596357"/>
      <w:r>
        <w:t>七、重点任务</w:t>
      </w:r>
      <w:bookmarkEnd w:id="43"/>
      <w:bookmarkEnd w:id="44"/>
      <w:bookmarkEnd w:id="45"/>
      <w:bookmarkEnd w:id="46"/>
      <w:bookmarkEnd w:id="47"/>
      <w:bookmarkEnd w:id="48"/>
    </w:p>
    <w:p>
      <w:pPr>
        <w:pStyle w:val="3"/>
        <w:spacing w:line="590" w:lineRule="exact"/>
        <w:ind w:left="643" w:firstLine="0" w:firstLineChars="0"/>
        <w:rPr>
          <w:rFonts w:eastAsia="楷体_GB2312"/>
        </w:rPr>
      </w:pPr>
      <w:bookmarkStart w:id="49" w:name="_Toc454500551"/>
      <w:bookmarkEnd w:id="49"/>
      <w:bookmarkStart w:id="50" w:name="_Toc454500810"/>
      <w:bookmarkEnd w:id="50"/>
      <w:bookmarkStart w:id="51" w:name="_Toc454500680"/>
      <w:bookmarkEnd w:id="51"/>
      <w:bookmarkStart w:id="52" w:name="_Toc454500552"/>
      <w:bookmarkEnd w:id="52"/>
      <w:bookmarkStart w:id="53" w:name="_Toc454500809"/>
      <w:bookmarkEnd w:id="53"/>
      <w:bookmarkStart w:id="54" w:name="_Toc454500679"/>
      <w:bookmarkEnd w:id="54"/>
      <w:bookmarkStart w:id="55" w:name="_Toc23784103"/>
      <w:bookmarkStart w:id="56" w:name="_Toc22244"/>
      <w:bookmarkStart w:id="57" w:name="_Toc18366"/>
      <w:bookmarkStart w:id="58" w:name="_Toc22184"/>
      <w:bookmarkStart w:id="59" w:name="_Toc16167"/>
      <w:bookmarkStart w:id="60" w:name="_Toc460596358"/>
      <w:r>
        <w:rPr>
          <w:rFonts w:eastAsia="楷体_GB2312"/>
        </w:rPr>
        <w:t>7.1重点工业污染源治理</w:t>
      </w:r>
      <w:bookmarkEnd w:id="55"/>
      <w:bookmarkEnd w:id="56"/>
      <w:bookmarkEnd w:id="57"/>
      <w:bookmarkEnd w:id="58"/>
      <w:bookmarkEnd w:id="59"/>
      <w:bookmarkEnd w:id="60"/>
    </w:p>
    <w:p>
      <w:pPr>
        <w:pStyle w:val="4"/>
        <w:spacing w:line="590" w:lineRule="exact"/>
        <w:ind w:firstLine="643"/>
        <w:rPr>
          <w:b w:val="0"/>
        </w:rPr>
      </w:pPr>
      <w:bookmarkStart w:id="61" w:name="_Toc23356"/>
      <w:bookmarkStart w:id="62" w:name="_Toc23784104"/>
      <w:bookmarkStart w:id="63" w:name="_Toc19791"/>
      <w:bookmarkStart w:id="64" w:name="_Toc4481"/>
      <w:bookmarkStart w:id="65" w:name="_Toc2171"/>
      <w:bookmarkStart w:id="66" w:name="_Toc460596359"/>
      <w:r>
        <w:t>7.1.1动态清查和依法取缔落后企业</w:t>
      </w:r>
      <w:bookmarkEnd w:id="61"/>
      <w:bookmarkEnd w:id="62"/>
      <w:bookmarkEnd w:id="63"/>
      <w:bookmarkEnd w:id="64"/>
      <w:bookmarkEnd w:id="65"/>
      <w:bookmarkEnd w:id="66"/>
    </w:p>
    <w:p>
      <w:pPr>
        <w:adjustRightInd w:val="0"/>
        <w:snapToGrid w:val="0"/>
        <w:spacing w:line="590" w:lineRule="exact"/>
        <w:ind w:firstLine="640"/>
        <w:rPr>
          <w:rFonts w:eastAsia="仿宋_GB2312"/>
          <w:sz w:val="32"/>
          <w:szCs w:val="32"/>
        </w:rPr>
      </w:pPr>
      <w:r>
        <w:rPr>
          <w:rFonts w:eastAsia="仿宋_GB2312"/>
          <w:sz w:val="32"/>
          <w:szCs w:val="32"/>
        </w:rPr>
        <w:t>开展“散乱污”企业动态清查，对于不符合产业政策要求的家具制造、金属制造、造纸、制革、印染、染料、炼焦、炼砷、炼硫、炼油、电镀、农药等严重污染水环境的生产项目，一经发现立即取缔，并向社会公开，防止死灰复燃。</w:t>
      </w:r>
    </w:p>
    <w:p>
      <w:pPr>
        <w:pStyle w:val="4"/>
        <w:spacing w:line="590" w:lineRule="exact"/>
        <w:ind w:firstLine="643"/>
      </w:pPr>
      <w:bookmarkStart w:id="67" w:name="_Toc4434"/>
      <w:bookmarkStart w:id="68" w:name="_Toc25822"/>
      <w:bookmarkStart w:id="69" w:name="_Toc13864"/>
      <w:bookmarkStart w:id="70" w:name="_Toc6828"/>
      <w:bookmarkStart w:id="71" w:name="_Toc460596360"/>
      <w:bookmarkStart w:id="72" w:name="_Toc23784105"/>
      <w:r>
        <w:t>7.1.2强化工业园区水污染</w:t>
      </w:r>
      <w:bookmarkEnd w:id="67"/>
      <w:bookmarkEnd w:id="68"/>
      <w:bookmarkEnd w:id="69"/>
      <w:bookmarkEnd w:id="70"/>
      <w:bookmarkEnd w:id="71"/>
      <w:r>
        <w:t>治理</w:t>
      </w:r>
      <w:bookmarkEnd w:id="72"/>
    </w:p>
    <w:p>
      <w:pPr>
        <w:adjustRightInd w:val="0"/>
        <w:snapToGrid w:val="0"/>
        <w:spacing w:line="590" w:lineRule="exact"/>
        <w:ind w:firstLine="640"/>
        <w:rPr>
          <w:rFonts w:eastAsia="仿宋_GB2312"/>
          <w:sz w:val="32"/>
          <w:szCs w:val="32"/>
        </w:rPr>
      </w:pPr>
      <w:r>
        <w:rPr>
          <w:rFonts w:eastAsia="仿宋_GB2312"/>
          <w:sz w:val="32"/>
          <w:szCs w:val="32"/>
        </w:rPr>
        <w:t>强化三河市燕郊国家高新技术产业开发区、大厂县潮白新区、香河县新兴产业示范区等工业园区环保基础设施运行监督管理，一经发现预处理不符合要求或集中处理设施不正常运行的，立即整改。新建工业园区应同步规划、同步建设、同步运行污水、垃圾集中处理等污染治理设施，工业园区工业企业废水应达到预处理标准后，原则上全部集中处理。不具备集中处理工业废水的企业，须实施尾水深度处理，执行最严格的排放标准。</w:t>
      </w:r>
    </w:p>
    <w:p>
      <w:pPr>
        <w:pStyle w:val="3"/>
        <w:spacing w:line="590" w:lineRule="exact"/>
        <w:ind w:left="643" w:firstLine="0" w:firstLineChars="0"/>
        <w:rPr>
          <w:rFonts w:eastAsia="楷体_GB2312"/>
        </w:rPr>
      </w:pPr>
      <w:bookmarkStart w:id="73" w:name="_Toc454179881"/>
      <w:bookmarkStart w:id="74" w:name="_Toc2225"/>
      <w:bookmarkStart w:id="75" w:name="_Toc29509"/>
      <w:bookmarkStart w:id="76" w:name="_Toc18661"/>
      <w:bookmarkStart w:id="77" w:name="_Toc18735"/>
      <w:bookmarkStart w:id="78" w:name="_Toc23784106"/>
      <w:bookmarkStart w:id="79" w:name="_Toc460596361"/>
      <w:r>
        <w:rPr>
          <w:rFonts w:eastAsia="楷体_GB2312"/>
        </w:rPr>
        <w:t>7.2城镇污水处理设施及配套管网建设</w:t>
      </w:r>
      <w:bookmarkEnd w:id="73"/>
      <w:bookmarkEnd w:id="74"/>
      <w:bookmarkEnd w:id="75"/>
      <w:bookmarkEnd w:id="76"/>
      <w:bookmarkEnd w:id="77"/>
      <w:bookmarkEnd w:id="78"/>
      <w:bookmarkEnd w:id="79"/>
    </w:p>
    <w:p>
      <w:pPr>
        <w:pStyle w:val="4"/>
        <w:spacing w:line="590" w:lineRule="exact"/>
        <w:ind w:firstLine="643"/>
      </w:pPr>
      <w:bookmarkStart w:id="80" w:name="_Toc27605"/>
      <w:bookmarkStart w:id="81" w:name="_Toc26988"/>
      <w:bookmarkStart w:id="82" w:name="_Toc15123"/>
      <w:bookmarkStart w:id="83" w:name="_Toc2285"/>
      <w:bookmarkStart w:id="84" w:name="_Toc460596362"/>
      <w:bookmarkStart w:id="85" w:name="_Toc23784107"/>
      <w:r>
        <w:t>7.2.1加快城镇污水处理设施建设</w:t>
      </w:r>
      <w:bookmarkEnd w:id="80"/>
      <w:bookmarkEnd w:id="81"/>
      <w:bookmarkEnd w:id="82"/>
      <w:bookmarkEnd w:id="83"/>
      <w:bookmarkEnd w:id="84"/>
      <w:r>
        <w:t>及升级改造</w:t>
      </w:r>
      <w:bookmarkEnd w:id="85"/>
    </w:p>
    <w:p>
      <w:pPr>
        <w:adjustRightInd w:val="0"/>
        <w:snapToGrid w:val="0"/>
        <w:spacing w:line="590" w:lineRule="exact"/>
        <w:ind w:firstLine="640"/>
        <w:rPr>
          <w:rFonts w:eastAsia="仿宋_GB2312"/>
          <w:sz w:val="32"/>
          <w:szCs w:val="32"/>
        </w:rPr>
      </w:pPr>
      <w:r>
        <w:rPr>
          <w:rFonts w:eastAsia="仿宋_GB2312"/>
          <w:sz w:val="32"/>
          <w:szCs w:val="32"/>
        </w:rPr>
        <w:t>根据主要超标污染物排放分布和河流水环境质量现状差异，合理布局建制镇污水处理设施，重点工程布置应与水质改善要求相衔接。随着京津冀一体化发展以及联防联控要求，三河市、大厂县和香河县应尽早谋划，城镇生活污水处理设施排放标准及时对标《北京市城镇污水处理厂水污染物排放标准》（DB11890</w:t>
      </w:r>
      <w:r>
        <w:rPr>
          <w:rFonts w:hint="eastAsia" w:eastAsia="仿宋_GB2312"/>
          <w:sz w:val="32"/>
          <w:szCs w:val="32"/>
        </w:rPr>
        <w:t>—</w:t>
      </w:r>
      <w:r>
        <w:rPr>
          <w:rFonts w:eastAsia="仿宋_GB2312"/>
          <w:sz w:val="32"/>
          <w:szCs w:val="32"/>
        </w:rPr>
        <w:t>2012）B标准。加快大厂县潮白新区污水处理厂建设，出水水质应达到一级A标准或再生利用要求。尽快停运三河市京榆路北侧、燕龙生态园南侧两处过渡性污水处理设施，将生活污水纳入燕郊西污水处理厂处理。</w:t>
      </w:r>
    </w:p>
    <w:p>
      <w:pPr>
        <w:pStyle w:val="4"/>
        <w:spacing w:line="590" w:lineRule="exact"/>
        <w:ind w:firstLine="643"/>
      </w:pPr>
      <w:bookmarkStart w:id="86" w:name="_Toc23784108"/>
      <w:r>
        <w:t>7.2.2实施配套管网建设和改造</w:t>
      </w:r>
      <w:bookmarkEnd w:id="86"/>
    </w:p>
    <w:p>
      <w:pPr>
        <w:adjustRightInd w:val="0"/>
        <w:snapToGrid w:val="0"/>
        <w:spacing w:line="590" w:lineRule="exact"/>
        <w:ind w:firstLine="640"/>
        <w:rPr>
          <w:rFonts w:eastAsia="仿宋_GB2312"/>
          <w:sz w:val="32"/>
          <w:szCs w:val="32"/>
        </w:rPr>
      </w:pPr>
      <w:r>
        <w:rPr>
          <w:rFonts w:eastAsia="仿宋_GB2312"/>
          <w:sz w:val="32"/>
          <w:szCs w:val="32"/>
        </w:rPr>
        <w:t>加快三河市燕郊北部、西部地区污水管网建设进度，优先解决城中村、城乡结合部污水截流、收集。加快实施燕郊海绵城市建设，推进雨水管网系统新建工程、污水管网完善工程及基础设施配套工程，解决燕郊地区合流制管网溢流污染问题。实施102国道南北两侧排水管网改造工程，新建福成路至天子庄园、冶金路至尹家沟段雨污管网。实施燕郊南污水处理厂配套管网工程，新建思菩兰路至左堤路段污水管网。</w:t>
      </w:r>
    </w:p>
    <w:p>
      <w:pPr>
        <w:pStyle w:val="4"/>
        <w:spacing w:line="590" w:lineRule="exact"/>
        <w:ind w:firstLine="643"/>
      </w:pPr>
      <w:bookmarkStart w:id="87" w:name="_Toc23784109"/>
      <w:r>
        <w:t>7.2.3提高污水处理设施运营管理水平</w:t>
      </w:r>
      <w:bookmarkEnd w:id="87"/>
    </w:p>
    <w:p>
      <w:pPr>
        <w:adjustRightInd w:val="0"/>
        <w:snapToGrid w:val="0"/>
        <w:spacing w:line="590" w:lineRule="exact"/>
        <w:ind w:firstLine="656"/>
        <w:rPr>
          <w:rFonts w:eastAsia="仿宋_GB2312"/>
          <w:spacing w:val="4"/>
          <w:sz w:val="32"/>
          <w:szCs w:val="32"/>
        </w:rPr>
      </w:pPr>
      <w:r>
        <w:rPr>
          <w:rFonts w:eastAsia="仿宋_GB2312"/>
          <w:spacing w:val="4"/>
          <w:sz w:val="32"/>
          <w:szCs w:val="32"/>
        </w:rPr>
        <w:t>强化污水处理厂规范化、专业化运行管理，提高运营人员专业化水平，保障污水处理厂稳定运行和提升污水处理厂处理效率。加强污水处理厂收水管网监督管理，严格按照相关要求进行污水收集处理。加强污水处理厂在线监测监督管理，及时发现整改超标排放问题。针对未来总氮、总磷的管控，提前谋划，全面开展城镇污水处理设施总氮、总磷排放的监测与统计，将总氮、总磷作为日常监管指标，掌握污水处理厂总氮、总磷去除现状，根据要求及时调整运行参数，提高污水处理厂总氮、总磷去除效率。</w:t>
      </w:r>
    </w:p>
    <w:p>
      <w:pPr>
        <w:pStyle w:val="4"/>
        <w:spacing w:line="590" w:lineRule="exact"/>
        <w:ind w:firstLine="643"/>
      </w:pPr>
      <w:bookmarkStart w:id="88" w:name="_Toc23784110"/>
      <w:r>
        <w:t>7.2.4推进污泥安全处理处置</w:t>
      </w:r>
      <w:bookmarkEnd w:id="88"/>
    </w:p>
    <w:p>
      <w:pPr>
        <w:adjustRightInd w:val="0"/>
        <w:snapToGrid w:val="0"/>
        <w:spacing w:line="590" w:lineRule="exact"/>
        <w:ind w:firstLine="640"/>
        <w:rPr>
          <w:rFonts w:eastAsia="仿宋_GB2312"/>
          <w:sz w:val="32"/>
          <w:szCs w:val="32"/>
        </w:rPr>
      </w:pPr>
      <w:r>
        <w:rPr>
          <w:rFonts w:eastAsia="仿宋_GB2312"/>
          <w:sz w:val="32"/>
          <w:szCs w:val="32"/>
        </w:rPr>
        <w:t>统筹考虑潮白河流域污泥产生情况，集中配套建设污泥处理处置设置。严格实施污泥稳定化处理处置要求，保证污水处理厂全部污泥得到安全稳定处理处置。加强污泥处置管理，对于工业废水与生活污水合并处理的污水处理厂，其产生的污泥可能有重金属及高毒物质的存在，选择适宜的污泥处理技术，实行污泥稳定化、无害化和资源化处理处置，禁止处理处置不达标的污泥进入耕地。</w:t>
      </w:r>
    </w:p>
    <w:p>
      <w:pPr>
        <w:pStyle w:val="3"/>
        <w:spacing w:line="590" w:lineRule="exact"/>
        <w:ind w:left="643" w:firstLine="0" w:firstLineChars="0"/>
        <w:rPr>
          <w:rFonts w:eastAsia="楷体_GB2312"/>
        </w:rPr>
      </w:pPr>
      <w:bookmarkStart w:id="89" w:name="_Toc454179884"/>
      <w:bookmarkStart w:id="90" w:name="_Toc460596368"/>
      <w:bookmarkStart w:id="91" w:name="_Toc13278"/>
      <w:bookmarkStart w:id="92" w:name="_Toc9713"/>
      <w:bookmarkStart w:id="93" w:name="_Toc12321"/>
      <w:bookmarkStart w:id="94" w:name="_Toc24135"/>
      <w:bookmarkStart w:id="95" w:name="_Toc23784111"/>
      <w:r>
        <w:rPr>
          <w:rFonts w:eastAsia="楷体_GB2312"/>
        </w:rPr>
        <w:t>7.3农业和农村污染治理</w:t>
      </w:r>
      <w:bookmarkEnd w:id="89"/>
      <w:bookmarkEnd w:id="90"/>
      <w:bookmarkEnd w:id="91"/>
      <w:bookmarkEnd w:id="92"/>
      <w:bookmarkEnd w:id="93"/>
      <w:bookmarkEnd w:id="94"/>
      <w:bookmarkEnd w:id="95"/>
      <w:bookmarkStart w:id="96" w:name="_Toc425891543"/>
      <w:bookmarkStart w:id="97" w:name="_Toc448913023"/>
    </w:p>
    <w:p>
      <w:pPr>
        <w:pStyle w:val="4"/>
        <w:spacing w:line="590" w:lineRule="exact"/>
        <w:ind w:firstLine="643"/>
        <w:rPr>
          <w:b w:val="0"/>
        </w:rPr>
      </w:pPr>
      <w:bookmarkStart w:id="98" w:name="_Toc12364"/>
      <w:bookmarkStart w:id="99" w:name="_Toc15569"/>
      <w:bookmarkStart w:id="100" w:name="_Toc23784112"/>
      <w:bookmarkStart w:id="101" w:name="_Toc1278"/>
      <w:bookmarkStart w:id="102" w:name="_Toc460596369"/>
      <w:bookmarkStart w:id="103" w:name="_Toc24649"/>
      <w:r>
        <w:t>7.3.1强化农村生活污水处理</w:t>
      </w:r>
      <w:bookmarkEnd w:id="98"/>
      <w:bookmarkEnd w:id="99"/>
      <w:bookmarkEnd w:id="100"/>
      <w:bookmarkEnd w:id="101"/>
      <w:bookmarkEnd w:id="102"/>
      <w:bookmarkEnd w:id="103"/>
    </w:p>
    <w:p>
      <w:pPr>
        <w:adjustRightInd w:val="0"/>
        <w:snapToGrid w:val="0"/>
        <w:spacing w:line="590" w:lineRule="exact"/>
        <w:ind w:firstLine="640"/>
        <w:rPr>
          <w:rFonts w:eastAsia="仿宋_GB2312"/>
          <w:sz w:val="32"/>
          <w:szCs w:val="32"/>
        </w:rPr>
      </w:pPr>
      <w:r>
        <w:rPr>
          <w:rFonts w:eastAsia="仿宋_GB2312"/>
          <w:sz w:val="32"/>
          <w:szCs w:val="32"/>
        </w:rPr>
        <w:t>加快凌家吴和河南吴2个堤内农村的搬迁工作，加强苍头村、王店子村、北吴村、杨簸箕村和程辛庄村5个堤内农村已建污水处理设施运行维护，保障农村污水处理设施的稳定运行，禁止生活污水未经处理直接排入河内。</w:t>
      </w:r>
    </w:p>
    <w:p>
      <w:pPr>
        <w:pStyle w:val="4"/>
        <w:spacing w:line="590" w:lineRule="exact"/>
        <w:ind w:firstLine="643"/>
      </w:pPr>
      <w:bookmarkStart w:id="104" w:name="_Toc22935"/>
      <w:bookmarkStart w:id="105" w:name="_Toc460596370"/>
      <w:bookmarkStart w:id="106" w:name="_Toc3175"/>
      <w:bookmarkStart w:id="107" w:name="_Toc4969"/>
      <w:bookmarkStart w:id="108" w:name="_Toc23784113"/>
      <w:bookmarkStart w:id="109" w:name="_Toc23010"/>
      <w:r>
        <w:t>7.3.2加强畜禽养殖污染治</w:t>
      </w:r>
      <w:bookmarkEnd w:id="96"/>
      <w:bookmarkEnd w:id="97"/>
      <w:r>
        <w:t>理</w:t>
      </w:r>
      <w:bookmarkEnd w:id="104"/>
      <w:bookmarkEnd w:id="105"/>
      <w:bookmarkEnd w:id="106"/>
      <w:bookmarkEnd w:id="107"/>
      <w:bookmarkEnd w:id="108"/>
      <w:bookmarkEnd w:id="109"/>
    </w:p>
    <w:p>
      <w:pPr>
        <w:adjustRightInd w:val="0"/>
        <w:snapToGrid w:val="0"/>
        <w:spacing w:line="590" w:lineRule="exact"/>
        <w:ind w:firstLine="640"/>
        <w:rPr>
          <w:rFonts w:eastAsia="仿宋_GB2312"/>
          <w:sz w:val="32"/>
          <w:szCs w:val="32"/>
        </w:rPr>
      </w:pPr>
      <w:bookmarkStart w:id="110" w:name="_Toc425891545"/>
      <w:r>
        <w:rPr>
          <w:rFonts w:eastAsia="仿宋_GB2312"/>
          <w:sz w:val="32"/>
          <w:szCs w:val="32"/>
        </w:rPr>
        <w:t>根据禁养区、限养区划定方案，严守禁养区、限养区规定。新建、改建、扩建规模化养殖场（小区）要实施雨污分流、粪便污水资源化利用。散养密集区要实行畜禽粪便污水分户收集、集中处理利用。</w:t>
      </w:r>
    </w:p>
    <w:p>
      <w:pPr>
        <w:pStyle w:val="4"/>
        <w:spacing w:line="590" w:lineRule="exact"/>
        <w:ind w:firstLine="643"/>
        <w:rPr>
          <w:b w:val="0"/>
        </w:rPr>
      </w:pPr>
      <w:bookmarkStart w:id="111" w:name="_Toc448913024"/>
      <w:bookmarkStart w:id="112" w:name="_Toc25949"/>
      <w:bookmarkStart w:id="113" w:name="_Toc460596372"/>
      <w:bookmarkStart w:id="114" w:name="_Toc22082"/>
      <w:bookmarkStart w:id="115" w:name="_Toc23784114"/>
      <w:bookmarkStart w:id="116" w:name="_Toc20769"/>
      <w:bookmarkStart w:id="117" w:name="_Toc27851"/>
      <w:r>
        <w:t>7.3.3有效控制种植业污</w:t>
      </w:r>
      <w:bookmarkEnd w:id="110"/>
      <w:bookmarkEnd w:id="111"/>
      <w:r>
        <w:t>染</w:t>
      </w:r>
      <w:bookmarkEnd w:id="112"/>
      <w:bookmarkEnd w:id="113"/>
      <w:bookmarkEnd w:id="114"/>
      <w:bookmarkEnd w:id="115"/>
      <w:bookmarkEnd w:id="116"/>
      <w:bookmarkEnd w:id="117"/>
      <w:bookmarkStart w:id="118" w:name="_Toc425891546"/>
    </w:p>
    <w:p>
      <w:pPr>
        <w:adjustRightInd w:val="0"/>
        <w:snapToGrid w:val="0"/>
        <w:spacing w:line="590" w:lineRule="exact"/>
        <w:ind w:firstLine="656"/>
        <w:rPr>
          <w:rFonts w:eastAsia="仿宋_GB2312"/>
          <w:spacing w:val="4"/>
          <w:sz w:val="32"/>
          <w:szCs w:val="32"/>
        </w:rPr>
      </w:pPr>
      <w:r>
        <w:rPr>
          <w:rFonts w:eastAsia="仿宋_GB2312"/>
          <w:spacing w:val="4"/>
          <w:sz w:val="32"/>
          <w:szCs w:val="32"/>
        </w:rPr>
        <w:t>有效控制大厂县、香河县集水范围内农田农药化肥使用量，鼓励潮白河堤内发展生态循环农业，引导农民科学施肥，在政策上鼓励施用有机肥，减少农田化肥氮磷流失，落实高标准农田建设、土地开发整理等标准规范。调整大厂县、香河县种植结构，在潮白河堤内调减用水量较大的小麦种植面积，逐步实施退地减水。</w:t>
      </w:r>
    </w:p>
    <w:bookmarkEnd w:id="118"/>
    <w:p>
      <w:pPr>
        <w:pStyle w:val="4"/>
        <w:spacing w:line="590" w:lineRule="exact"/>
        <w:ind w:firstLine="643"/>
        <w:rPr>
          <w:b w:val="0"/>
        </w:rPr>
      </w:pPr>
      <w:bookmarkStart w:id="119" w:name="_Toc3472"/>
      <w:bookmarkStart w:id="120" w:name="_Toc16535"/>
      <w:bookmarkStart w:id="121" w:name="_Toc460596373"/>
      <w:bookmarkStart w:id="122" w:name="_Toc8717"/>
      <w:bookmarkStart w:id="123" w:name="_Toc31604"/>
      <w:bookmarkStart w:id="124" w:name="_Toc23784115"/>
      <w:r>
        <w:t>7.3.4开展河道两岸垃圾打捞和长效治理</w:t>
      </w:r>
      <w:bookmarkEnd w:id="119"/>
      <w:bookmarkEnd w:id="120"/>
      <w:bookmarkEnd w:id="121"/>
      <w:bookmarkEnd w:id="122"/>
      <w:bookmarkEnd w:id="123"/>
      <w:bookmarkEnd w:id="124"/>
    </w:p>
    <w:p>
      <w:pPr>
        <w:adjustRightInd w:val="0"/>
        <w:snapToGrid w:val="0"/>
        <w:spacing w:line="590" w:lineRule="exact"/>
        <w:ind w:firstLine="640"/>
        <w:rPr>
          <w:rFonts w:eastAsia="仿宋_GB2312"/>
          <w:sz w:val="32"/>
          <w:szCs w:val="32"/>
        </w:rPr>
      </w:pPr>
      <w:r>
        <w:rPr>
          <w:rFonts w:eastAsia="仿宋_GB2312"/>
          <w:sz w:val="32"/>
          <w:szCs w:val="32"/>
        </w:rPr>
        <w:t>围绕河长制工作要求和责任分工，组织专人或通过聘请第三方公司等方式，定期开展三河市、大厂县、香河县潮白河沿岸以及香河县百家湾、田贾庄、荣各庄、商汪甸等排干渠周边垃圾清理工作，消灭农村垃圾沿河乱堆现象；定期对河道内垃圾、漂浮物、水草等进行打捞清理。完善沿岸及河道垃圾收集、打捞工作考核机制，</w:t>
      </w:r>
      <w:bookmarkStart w:id="125" w:name="_Toc3328"/>
      <w:bookmarkStart w:id="126" w:name="_Toc9963"/>
      <w:bookmarkStart w:id="127" w:name="_Toc460596374"/>
      <w:bookmarkStart w:id="128" w:name="_Toc9719"/>
      <w:bookmarkStart w:id="129" w:name="_Toc466"/>
      <w:r>
        <w:rPr>
          <w:rFonts w:eastAsia="仿宋_GB2312"/>
          <w:sz w:val="32"/>
          <w:szCs w:val="32"/>
        </w:rPr>
        <w:t>强化对垃圾收集、打捞工作的监督管理，保证沿岸及河道无大面积垃圾、漂浮物等。</w:t>
      </w:r>
    </w:p>
    <w:p>
      <w:pPr>
        <w:pStyle w:val="3"/>
        <w:spacing w:line="590" w:lineRule="exact"/>
        <w:ind w:left="643" w:firstLine="0" w:firstLineChars="0"/>
        <w:rPr>
          <w:rFonts w:eastAsia="楷体_GB2312"/>
        </w:rPr>
      </w:pPr>
      <w:bookmarkStart w:id="130" w:name="_Toc23784116"/>
      <w:r>
        <w:rPr>
          <w:rFonts w:eastAsia="楷体_GB2312"/>
        </w:rPr>
        <w:t>7.4节水减污和再生水利用</w:t>
      </w:r>
      <w:bookmarkEnd w:id="125"/>
      <w:bookmarkEnd w:id="126"/>
      <w:bookmarkEnd w:id="127"/>
      <w:bookmarkEnd w:id="128"/>
      <w:bookmarkEnd w:id="129"/>
      <w:bookmarkEnd w:id="130"/>
    </w:p>
    <w:p>
      <w:pPr>
        <w:pStyle w:val="4"/>
        <w:spacing w:line="590" w:lineRule="exact"/>
        <w:ind w:firstLine="643"/>
        <w:rPr>
          <w:b w:val="0"/>
        </w:rPr>
      </w:pPr>
      <w:bookmarkStart w:id="131" w:name="_Toc12719"/>
      <w:bookmarkStart w:id="132" w:name="_Toc12981"/>
      <w:bookmarkStart w:id="133" w:name="_Toc460596375"/>
      <w:bookmarkStart w:id="134" w:name="_Toc23784117"/>
      <w:bookmarkStart w:id="135" w:name="_Toc30588"/>
      <w:bookmarkStart w:id="136" w:name="_Toc22465"/>
      <w:r>
        <w:t>7.4.1全面落实最严格水资源管理制度</w:t>
      </w:r>
      <w:bookmarkEnd w:id="131"/>
      <w:bookmarkEnd w:id="132"/>
      <w:bookmarkEnd w:id="133"/>
      <w:bookmarkEnd w:id="134"/>
      <w:bookmarkEnd w:id="135"/>
      <w:bookmarkEnd w:id="136"/>
    </w:p>
    <w:p>
      <w:pPr>
        <w:adjustRightInd w:val="0"/>
        <w:snapToGrid w:val="0"/>
        <w:spacing w:line="590" w:lineRule="exact"/>
        <w:ind w:firstLine="640"/>
        <w:rPr>
          <w:rFonts w:eastAsia="仿宋_GB2312"/>
          <w:sz w:val="32"/>
          <w:szCs w:val="32"/>
        </w:rPr>
      </w:pPr>
      <w:r>
        <w:rPr>
          <w:rFonts w:eastAsia="仿宋_GB2312"/>
          <w:sz w:val="32"/>
          <w:szCs w:val="32"/>
        </w:rPr>
        <w:t>（1）落实取用水总量控制指标体系。加强相关规划和项目建设布局水资源论证工作，国民经济和社会发展规划以及城市总体规划、城乡规划、工业园区（工业集聚区）规划、高耗水行业专项规划的编制以及重大建设项目的布局，应充分考虑潮白河水资源条件和防洪要求，未依法完成建设项目水资源论证工作的，审批机关不予批准其规划及建设项目。</w:t>
      </w:r>
    </w:p>
    <w:p>
      <w:pPr>
        <w:adjustRightInd w:val="0"/>
        <w:snapToGrid w:val="0"/>
        <w:spacing w:line="590" w:lineRule="exact"/>
        <w:ind w:firstLine="640"/>
        <w:rPr>
          <w:rFonts w:eastAsia="仿宋_GB2312"/>
          <w:sz w:val="32"/>
          <w:szCs w:val="32"/>
        </w:rPr>
      </w:pPr>
      <w:r>
        <w:rPr>
          <w:rFonts w:eastAsia="仿宋_GB2312"/>
          <w:sz w:val="32"/>
          <w:szCs w:val="32"/>
        </w:rPr>
        <w:t>（2）严格执行水资源开发利用控制红线。严格实施取水许可制度。对取用潮白河水系的单位实行计划用水管理。严格执行《河北省用水定额》，严格建设项目取水许可审批。</w:t>
      </w:r>
    </w:p>
    <w:p>
      <w:pPr>
        <w:adjustRightInd w:val="0"/>
        <w:snapToGrid w:val="0"/>
        <w:spacing w:line="590" w:lineRule="exact"/>
        <w:ind w:firstLine="640"/>
        <w:rPr>
          <w:rFonts w:eastAsia="仿宋_GB2312"/>
          <w:sz w:val="32"/>
          <w:szCs w:val="32"/>
        </w:rPr>
      </w:pPr>
      <w:r>
        <w:rPr>
          <w:rFonts w:eastAsia="仿宋_GB2312"/>
          <w:sz w:val="32"/>
          <w:szCs w:val="32"/>
        </w:rPr>
        <w:t>（3）提高用水效率。加强用水需求管理，以水定需、量水而行，抑制不合理用水需求，促进潮白河流域特别是潮白新区人口、经济等与水资源相均衡。强化节水“三同时”管理，重点用水企业和用水大户实施节水改造，推广节水新工艺、新设备、推进节水载体建设。</w:t>
      </w:r>
    </w:p>
    <w:p>
      <w:pPr>
        <w:adjustRightInd w:val="0"/>
        <w:snapToGrid w:val="0"/>
        <w:spacing w:line="590" w:lineRule="exact"/>
        <w:ind w:firstLine="640"/>
        <w:rPr>
          <w:rFonts w:eastAsia="仿宋_GB2312"/>
          <w:sz w:val="32"/>
          <w:szCs w:val="32"/>
        </w:rPr>
      </w:pPr>
      <w:r>
        <w:rPr>
          <w:rFonts w:eastAsia="仿宋_GB2312"/>
          <w:sz w:val="32"/>
          <w:szCs w:val="32"/>
        </w:rPr>
        <w:t>（4）抓好工业节水。开展节水诊断、水平衡测试、用水效率评估。到2020年，大厂县潮白新区、香河县新兴产业示范区及沿潮白河乡镇的造纸、化工、食品等高耗水行业用水达到先进定额标准。</w:t>
      </w:r>
    </w:p>
    <w:p>
      <w:pPr>
        <w:adjustRightInd w:val="0"/>
        <w:snapToGrid w:val="0"/>
        <w:spacing w:line="590" w:lineRule="exact"/>
        <w:ind w:firstLine="640"/>
        <w:rPr>
          <w:rFonts w:eastAsia="仿宋_GB2312"/>
          <w:sz w:val="32"/>
          <w:szCs w:val="32"/>
        </w:rPr>
      </w:pPr>
      <w:r>
        <w:rPr>
          <w:rFonts w:eastAsia="仿宋_GB2312"/>
          <w:sz w:val="32"/>
          <w:szCs w:val="32"/>
        </w:rPr>
        <w:t>（5）发展农业节水。调整香河县百家湾排干渠、田贾庄排干渠集水范围内农田种植结构，发展旱作节水农业，推进田间节水设施建设，大力推广耐旱节水品种、耕作保墒、地膜覆盖、秸秆还田、水肥一体化等农业综合节水技术。三河市、大厂县、香河县实施高标准农田建设，推广渠道防渗、管道输水、喷灌、微灌、农作物节水抗旱等技术，完善灌溉用水计量设施，推进规模化高效节水灌溉。到2020年，中型灌区续建配套和节水改造任务基本完成，农田灌溉水有效利用系数达到0.72以上，农业用水总量下降到5亿立方米。</w:t>
      </w:r>
    </w:p>
    <w:p>
      <w:pPr>
        <w:pStyle w:val="4"/>
        <w:spacing w:line="590" w:lineRule="exact"/>
        <w:ind w:firstLine="643"/>
      </w:pPr>
      <w:bookmarkStart w:id="137" w:name="_Toc14322"/>
      <w:bookmarkStart w:id="138" w:name="_Toc460596376"/>
      <w:bookmarkStart w:id="139" w:name="_Toc23784118"/>
      <w:bookmarkStart w:id="140" w:name="_Toc29149"/>
      <w:bookmarkStart w:id="141" w:name="_Toc24160"/>
      <w:bookmarkStart w:id="142" w:name="_Toc14782"/>
      <w:r>
        <w:t>7.4.2加强再生水循环利用</w:t>
      </w:r>
      <w:bookmarkEnd w:id="137"/>
      <w:bookmarkEnd w:id="138"/>
      <w:bookmarkEnd w:id="139"/>
      <w:bookmarkEnd w:id="140"/>
      <w:bookmarkEnd w:id="141"/>
      <w:bookmarkEnd w:id="142"/>
    </w:p>
    <w:p>
      <w:pPr>
        <w:adjustRightInd w:val="0"/>
        <w:snapToGrid w:val="0"/>
        <w:spacing w:line="590" w:lineRule="exact"/>
        <w:ind w:firstLine="672"/>
        <w:rPr>
          <w:rFonts w:eastAsia="仿宋_GB2312"/>
          <w:spacing w:val="8"/>
          <w:sz w:val="32"/>
          <w:szCs w:val="32"/>
        </w:rPr>
      </w:pPr>
      <w:r>
        <w:rPr>
          <w:rFonts w:eastAsia="仿宋_GB2312"/>
          <w:spacing w:val="8"/>
          <w:sz w:val="32"/>
          <w:szCs w:val="32"/>
        </w:rPr>
        <w:t>加快推进潮白河上游地区中水回用工程建设，保障潮白河上游河道生态补水。加快实施潮白河燕郊地区上游三河境内4万吨/日中水回用工程建设，推动燕郊地区中水回用干管等中水管网建设，将燕郊地区污水处理厂出水用于补充潮白河三河段生态用水，保障潮白河吴村断面上游生态流量。</w:t>
      </w:r>
    </w:p>
    <w:p>
      <w:pPr>
        <w:pStyle w:val="3"/>
        <w:spacing w:line="590" w:lineRule="exact"/>
        <w:ind w:left="643" w:firstLine="0" w:firstLineChars="0"/>
        <w:rPr>
          <w:rFonts w:eastAsia="楷体_GB2312"/>
        </w:rPr>
      </w:pPr>
      <w:bookmarkStart w:id="143" w:name="_Toc23784119"/>
      <w:bookmarkStart w:id="144" w:name="_Toc460596377"/>
      <w:bookmarkStart w:id="145" w:name="_Toc28758"/>
      <w:bookmarkStart w:id="146" w:name="_Toc26266"/>
      <w:bookmarkStart w:id="147" w:name="_Toc14540"/>
      <w:bookmarkStart w:id="148" w:name="_Toc6735"/>
      <w:r>
        <w:rPr>
          <w:rFonts w:eastAsia="楷体_GB2312"/>
        </w:rPr>
        <w:t>7.5河流综合治理与生态修复</w:t>
      </w:r>
      <w:bookmarkEnd w:id="143"/>
    </w:p>
    <w:p>
      <w:pPr>
        <w:pStyle w:val="4"/>
        <w:spacing w:line="590" w:lineRule="exact"/>
        <w:ind w:firstLine="643"/>
      </w:pPr>
      <w:bookmarkStart w:id="149" w:name="_Toc23784120"/>
      <w:r>
        <w:t>7.5.1实施潮白河香河段及排干渠底泥清淤</w:t>
      </w:r>
      <w:bookmarkEnd w:id="144"/>
      <w:bookmarkEnd w:id="145"/>
      <w:bookmarkEnd w:id="146"/>
      <w:bookmarkEnd w:id="147"/>
      <w:bookmarkEnd w:id="148"/>
      <w:r>
        <w:t>工程</w:t>
      </w:r>
      <w:bookmarkEnd w:id="149"/>
    </w:p>
    <w:p>
      <w:pPr>
        <w:adjustRightInd w:val="0"/>
        <w:snapToGrid w:val="0"/>
        <w:spacing w:line="590" w:lineRule="exact"/>
        <w:ind w:firstLine="640"/>
        <w:rPr>
          <w:rFonts w:eastAsia="仿宋_GB2312"/>
          <w:sz w:val="32"/>
          <w:szCs w:val="32"/>
        </w:rPr>
      </w:pPr>
      <w:bookmarkStart w:id="150" w:name="_Toc29088"/>
      <w:bookmarkStart w:id="151" w:name="_Toc7468"/>
      <w:bookmarkStart w:id="152" w:name="_Toc23244"/>
      <w:bookmarkStart w:id="153" w:name="_Toc20304"/>
      <w:bookmarkStart w:id="154" w:name="_Toc460596378"/>
      <w:r>
        <w:rPr>
          <w:rFonts w:eastAsia="仿宋_GB2312"/>
          <w:sz w:val="32"/>
          <w:szCs w:val="32"/>
        </w:rPr>
        <w:t>加快实施潮白河香河段20公里河道以及香河县</w:t>
      </w:r>
      <w:bookmarkEnd w:id="150"/>
      <w:bookmarkEnd w:id="151"/>
      <w:bookmarkEnd w:id="152"/>
      <w:bookmarkEnd w:id="153"/>
      <w:bookmarkEnd w:id="154"/>
      <w:r>
        <w:rPr>
          <w:rFonts w:eastAsia="仿宋_GB2312"/>
          <w:sz w:val="32"/>
          <w:szCs w:val="32"/>
        </w:rPr>
        <w:t>荣各庄、商汪甸2条排干渠共5.1公里河道表层底泥清淤工程。根据河道现场情况，分段进行水截流与引排工程；通过人工、机械等挖掘方式对河道进行清淤，挖掘后的河道及时进行河床恢复；挖掘出来的底泥输送至脱水场地进行脱水处理，脱水后的底泥运送至处理场地进行处理，底泥处理后先进行暂存，最终进行综合利用。</w:t>
      </w:r>
    </w:p>
    <w:p>
      <w:pPr>
        <w:pStyle w:val="4"/>
        <w:spacing w:line="590" w:lineRule="exact"/>
        <w:ind w:firstLine="643"/>
      </w:pPr>
      <w:bookmarkStart w:id="155" w:name="_Toc31715"/>
      <w:bookmarkStart w:id="156" w:name="_Toc11206"/>
      <w:bookmarkStart w:id="157" w:name="_Toc1661"/>
      <w:bookmarkStart w:id="158" w:name="_Toc5663"/>
      <w:bookmarkStart w:id="159" w:name="_Toc460596380"/>
      <w:bookmarkStart w:id="160" w:name="_Toc23784121"/>
      <w:r>
        <w:t>7.5.2</w:t>
      </w:r>
      <w:bookmarkEnd w:id="155"/>
      <w:bookmarkEnd w:id="156"/>
      <w:bookmarkEnd w:id="157"/>
      <w:bookmarkEnd w:id="158"/>
      <w:bookmarkEnd w:id="159"/>
      <w:r>
        <w:t>打造河流自然生态系统</w:t>
      </w:r>
      <w:bookmarkEnd w:id="160"/>
    </w:p>
    <w:p>
      <w:pPr>
        <w:adjustRightInd w:val="0"/>
        <w:snapToGrid w:val="0"/>
        <w:spacing w:line="590" w:lineRule="exact"/>
        <w:ind w:firstLine="640"/>
        <w:rPr>
          <w:rFonts w:eastAsia="仿宋_GB2312"/>
          <w:sz w:val="32"/>
          <w:szCs w:val="32"/>
        </w:rPr>
      </w:pPr>
      <w:r>
        <w:rPr>
          <w:rFonts w:eastAsia="仿宋_GB2312"/>
          <w:sz w:val="32"/>
          <w:szCs w:val="32"/>
        </w:rPr>
        <w:t>为保证河道水系自净能力，恢复流域物种多样性，根据来水水质，结合地形、水文条件、两岸植被和经济成本等情况，适当种植芦苇、蒲草等本地有利于净化水质的水生植物，打造水生自然生态系统。推动潮白河三河、大厂、香河段开展天然植被恢复和滨河生态建设，恢复自然河滨带湿地功能，完成潮白河湿地生态系统恢复工程建设。通过优化闸坝调度控制，增加生态流量。严禁非法侵占湿地，潮白河堤内严格限制与湿地保护无关的开发利用活动。</w:t>
      </w:r>
    </w:p>
    <w:p>
      <w:pPr>
        <w:pStyle w:val="4"/>
        <w:spacing w:line="590" w:lineRule="exact"/>
        <w:ind w:firstLine="643"/>
      </w:pPr>
      <w:bookmarkStart w:id="161" w:name="_Toc23784122"/>
      <w:r>
        <w:t>7.5.3加强藻类防控与处置</w:t>
      </w:r>
      <w:bookmarkEnd w:id="161"/>
    </w:p>
    <w:p>
      <w:pPr>
        <w:adjustRightInd w:val="0"/>
        <w:snapToGrid w:val="0"/>
        <w:spacing w:line="590" w:lineRule="exact"/>
        <w:ind w:firstLine="640"/>
        <w:rPr>
          <w:rFonts w:eastAsia="仿宋_GB2312"/>
          <w:sz w:val="32"/>
          <w:szCs w:val="32"/>
        </w:rPr>
      </w:pPr>
      <w:r>
        <w:rPr>
          <w:rFonts w:eastAsia="仿宋_GB2312"/>
          <w:sz w:val="32"/>
          <w:szCs w:val="32"/>
        </w:rPr>
        <w:t>在潮白河香河段开展藻类控制，选择适宜位置建设拦藻坝，在高温季节根据断面水质变化和藻类监测提前通过加压除藻船、藻水分离器或投加改性土壤、抑藻剂等开展藻类治理工作。坚持河道内大型丝状绿藻、菹草等每日清理清零机制，及时清理河道内菹草和藻类等。在潮白河吴村、大套桥上游选择适宜河段种植一定面积的苦草、黑藻等水生植物，构建水生生态系统物种多样性，防止藻类大量生长。</w:t>
      </w:r>
    </w:p>
    <w:p>
      <w:pPr>
        <w:adjustRightInd w:val="0"/>
        <w:snapToGrid w:val="0"/>
        <w:spacing w:line="590" w:lineRule="exact"/>
        <w:ind w:firstLine="640"/>
        <w:rPr>
          <w:rFonts w:eastAsia="仿宋_GB2312"/>
          <w:sz w:val="32"/>
          <w:szCs w:val="32"/>
        </w:rPr>
      </w:pPr>
      <w:r>
        <w:rPr>
          <w:rFonts w:eastAsia="仿宋_GB2312"/>
          <w:sz w:val="32"/>
          <w:szCs w:val="32"/>
        </w:rPr>
        <w:t>加强香河县1、2号两个橡胶坝调度运行，水利部门要加强与生态环境部门及时沟通，根据水质、藻类变化等调控橡胶坝高度，保障潮白河水位适当深度和河道生态流量。</w:t>
      </w:r>
    </w:p>
    <w:p>
      <w:pPr>
        <w:adjustRightInd w:val="0"/>
        <w:snapToGrid w:val="0"/>
        <w:spacing w:line="590" w:lineRule="exact"/>
        <w:ind w:firstLine="656"/>
        <w:rPr>
          <w:rFonts w:eastAsia="仿宋_GB2312"/>
          <w:spacing w:val="4"/>
          <w:sz w:val="32"/>
          <w:szCs w:val="32"/>
        </w:rPr>
      </w:pPr>
      <w:r>
        <w:rPr>
          <w:rFonts w:eastAsia="仿宋_GB2312"/>
          <w:spacing w:val="4"/>
          <w:sz w:val="32"/>
          <w:szCs w:val="32"/>
        </w:rPr>
        <w:t>在常规污染指标监测的基础上，加强考核断面藻类、透明度和叶绿素等指标的监测，为考核断面水质达标预警提供科学依据。</w:t>
      </w:r>
    </w:p>
    <w:p>
      <w:pPr>
        <w:pStyle w:val="4"/>
        <w:spacing w:line="590" w:lineRule="exact"/>
        <w:ind w:firstLine="643"/>
      </w:pPr>
      <w:bookmarkStart w:id="162" w:name="_Toc23784123"/>
      <w:r>
        <w:t>7.5.4开展河道精细化管控</w:t>
      </w:r>
      <w:bookmarkEnd w:id="162"/>
    </w:p>
    <w:p>
      <w:pPr>
        <w:adjustRightInd w:val="0"/>
        <w:snapToGrid w:val="0"/>
        <w:spacing w:line="590" w:lineRule="exact"/>
        <w:ind w:firstLine="640"/>
        <w:rPr>
          <w:rFonts w:eastAsia="仿宋_GB2312"/>
          <w:sz w:val="32"/>
          <w:szCs w:val="32"/>
        </w:rPr>
      </w:pPr>
      <w:r>
        <w:rPr>
          <w:rFonts w:eastAsia="仿宋_GB2312"/>
          <w:sz w:val="32"/>
          <w:szCs w:val="32"/>
        </w:rPr>
        <w:t>加强河长制管理，严格水域岸线等水生态空间管控。建立河道日常监管巡查制度，实行河道动态监管。落实河长制对河道管理保护执法监管责任人员、设备和经费保障。按照政府主导、经济补偿、市场推进的原则，在潮白河堤内开展退耕还湿、退渔还河行动。按照属地责任划分，分段开展河道管控，坚持潮白河干流河道垃圾、漂浮物、水草等日产日清打捞机制，保障干流河面清洁。</w:t>
      </w:r>
    </w:p>
    <w:p>
      <w:pPr>
        <w:pStyle w:val="3"/>
        <w:spacing w:line="590" w:lineRule="exact"/>
        <w:ind w:left="643" w:firstLine="0" w:firstLineChars="0"/>
        <w:rPr>
          <w:rFonts w:eastAsia="楷体_GB2312"/>
        </w:rPr>
      </w:pPr>
      <w:bookmarkStart w:id="163" w:name="_Toc22912"/>
      <w:bookmarkStart w:id="164" w:name="_Toc23784124"/>
      <w:bookmarkStart w:id="165" w:name="_Toc5919"/>
      <w:bookmarkStart w:id="166" w:name="_Toc31407"/>
      <w:bookmarkStart w:id="167" w:name="_Toc5525"/>
      <w:bookmarkStart w:id="168" w:name="_Toc460596384"/>
      <w:r>
        <w:rPr>
          <w:rFonts w:eastAsia="楷体_GB2312"/>
        </w:rPr>
        <w:t>7.6积极协调防控上游跨界水污染</w:t>
      </w:r>
      <w:bookmarkEnd w:id="163"/>
      <w:bookmarkEnd w:id="164"/>
      <w:bookmarkEnd w:id="165"/>
      <w:bookmarkEnd w:id="166"/>
      <w:bookmarkEnd w:id="167"/>
      <w:bookmarkEnd w:id="168"/>
    </w:p>
    <w:p>
      <w:pPr>
        <w:pStyle w:val="4"/>
        <w:spacing w:line="590" w:lineRule="exact"/>
        <w:ind w:firstLine="643"/>
        <w:rPr>
          <w:b w:val="0"/>
        </w:rPr>
      </w:pPr>
      <w:bookmarkStart w:id="169" w:name="_Toc460596385"/>
      <w:bookmarkStart w:id="170" w:name="_Toc24934"/>
      <w:bookmarkStart w:id="171" w:name="_Toc23089"/>
      <w:bookmarkStart w:id="172" w:name="_Toc21777"/>
      <w:bookmarkStart w:id="173" w:name="_Toc2140"/>
      <w:bookmarkStart w:id="174" w:name="_Toc23784125"/>
      <w:r>
        <w:t>7.6.1积极推进上游水质改善</w:t>
      </w:r>
      <w:bookmarkEnd w:id="169"/>
      <w:bookmarkEnd w:id="170"/>
      <w:bookmarkEnd w:id="171"/>
      <w:bookmarkEnd w:id="172"/>
      <w:bookmarkEnd w:id="173"/>
      <w:bookmarkEnd w:id="174"/>
    </w:p>
    <w:p>
      <w:pPr>
        <w:adjustRightInd w:val="0"/>
        <w:snapToGrid w:val="0"/>
        <w:spacing w:line="590" w:lineRule="exact"/>
        <w:ind w:firstLine="640"/>
        <w:rPr>
          <w:rFonts w:eastAsia="仿宋_GB2312"/>
          <w:sz w:val="32"/>
          <w:szCs w:val="32"/>
        </w:rPr>
      </w:pPr>
      <w:r>
        <w:rPr>
          <w:rFonts w:eastAsia="仿宋_GB2312"/>
          <w:sz w:val="32"/>
          <w:szCs w:val="32"/>
        </w:rPr>
        <w:t>建立来水水质监控与通报机制。利用已有跨界断面监测条件，研究建立上游来水水质监控与通报机制，加强上游入境断面水质监控，及时将水质情况通报上游地区，同时为下游地区根据来水水质及时调整污染治理措施，确保出境断面达标。</w:t>
      </w:r>
    </w:p>
    <w:p>
      <w:pPr>
        <w:adjustRightInd w:val="0"/>
        <w:snapToGrid w:val="0"/>
        <w:spacing w:line="590" w:lineRule="exact"/>
        <w:ind w:firstLine="640"/>
        <w:rPr>
          <w:rFonts w:eastAsia="仿宋_GB2312"/>
          <w:sz w:val="32"/>
          <w:szCs w:val="32"/>
        </w:rPr>
      </w:pPr>
      <w:r>
        <w:rPr>
          <w:rFonts w:eastAsia="仿宋_GB2312"/>
          <w:sz w:val="32"/>
          <w:szCs w:val="32"/>
        </w:rPr>
        <w:t>积极协调北京市，推进上游来水水质逐步改善。坚持流域管理思路，促进上下游、左右岸协同治水，形成有部署、有行动、有标准，相互支持、共同配合的治水新局面。突出流域区域水环境保护的属地责任，督促北京市通州区持续改善潮白河及对潮白河水质有影响的运潮减河、北运河流域水质。</w:t>
      </w:r>
    </w:p>
    <w:p>
      <w:pPr>
        <w:adjustRightInd w:val="0"/>
        <w:snapToGrid w:val="0"/>
        <w:spacing w:line="590" w:lineRule="exact"/>
        <w:ind w:firstLine="640"/>
        <w:rPr>
          <w:rFonts w:eastAsia="仿宋_GB2312"/>
          <w:sz w:val="32"/>
          <w:szCs w:val="32"/>
        </w:rPr>
      </w:pPr>
      <w:r>
        <w:rPr>
          <w:rFonts w:eastAsia="仿宋_GB2312"/>
          <w:sz w:val="32"/>
          <w:szCs w:val="32"/>
        </w:rPr>
        <w:t>积极协调保障潮白河生态流量。水利局研究协调上游对潮白河生态调水方案，合理安排闸坝下泄水量和泄流时段，维持潮白河基本生态用水需求，重点保障枯水期生态基流。</w:t>
      </w:r>
    </w:p>
    <w:p>
      <w:pPr>
        <w:pStyle w:val="4"/>
        <w:spacing w:line="590" w:lineRule="exact"/>
        <w:ind w:firstLine="643"/>
        <w:rPr>
          <w:b w:val="0"/>
        </w:rPr>
      </w:pPr>
      <w:bookmarkStart w:id="175" w:name="_Toc460596386"/>
      <w:bookmarkStart w:id="176" w:name="_Toc10611"/>
      <w:bookmarkStart w:id="177" w:name="_Toc8500"/>
      <w:bookmarkStart w:id="178" w:name="_Toc15800"/>
      <w:bookmarkStart w:id="179" w:name="_Toc11788"/>
      <w:bookmarkStart w:id="180" w:name="_Toc23784126"/>
      <w:r>
        <w:t>7.6.2强化协商与联合执法机制</w:t>
      </w:r>
      <w:bookmarkEnd w:id="175"/>
      <w:bookmarkEnd w:id="176"/>
      <w:bookmarkEnd w:id="177"/>
      <w:bookmarkEnd w:id="178"/>
      <w:bookmarkEnd w:id="179"/>
      <w:bookmarkEnd w:id="180"/>
    </w:p>
    <w:p>
      <w:pPr>
        <w:adjustRightInd w:val="0"/>
        <w:snapToGrid w:val="0"/>
        <w:spacing w:line="590" w:lineRule="exact"/>
        <w:ind w:firstLine="640"/>
        <w:rPr>
          <w:rFonts w:eastAsia="仿宋_GB2312"/>
          <w:sz w:val="32"/>
          <w:szCs w:val="32"/>
        </w:rPr>
      </w:pPr>
      <w:r>
        <w:rPr>
          <w:rFonts w:eastAsia="仿宋_GB2312"/>
          <w:sz w:val="32"/>
          <w:szCs w:val="32"/>
        </w:rPr>
        <w:t>依托京津冀水污染防治协作机制，建立健全潮白河流域上下游、左右岸县级会商机制。依托京津冀环境执法与环境应急联动工作机制，定期或不定期统一人员调配、统一执法时间，围绕潮白河水污染防治工作开展联动执法，采用互相派遣执法人员到对方辖区开展联合检查等模式，重点加强河道倾倒垃圾、违法偷排等问题。</w:t>
      </w:r>
    </w:p>
    <w:p>
      <w:pPr>
        <w:pStyle w:val="2"/>
        <w:spacing w:line="590" w:lineRule="exact"/>
        <w:ind w:left="640" w:firstLine="0" w:firstLineChars="0"/>
      </w:pPr>
      <w:bookmarkStart w:id="181" w:name="_Toc454500585"/>
      <w:bookmarkEnd w:id="181"/>
      <w:bookmarkStart w:id="182" w:name="_Toc454500713"/>
      <w:bookmarkEnd w:id="182"/>
      <w:bookmarkStart w:id="183" w:name="_Toc454500843"/>
      <w:bookmarkEnd w:id="183"/>
      <w:bookmarkStart w:id="184" w:name="_Toc460596387"/>
      <w:bookmarkStart w:id="185" w:name="_Toc31491"/>
      <w:bookmarkStart w:id="186" w:name="_Toc12691"/>
      <w:bookmarkStart w:id="187" w:name="_Toc20880"/>
      <w:bookmarkStart w:id="188" w:name="_Toc30198"/>
      <w:bookmarkStart w:id="189" w:name="_Toc23784127"/>
      <w:r>
        <w:t>八、重点工程投资</w:t>
      </w:r>
      <w:bookmarkEnd w:id="184"/>
      <w:bookmarkEnd w:id="185"/>
      <w:bookmarkEnd w:id="186"/>
      <w:bookmarkEnd w:id="187"/>
      <w:bookmarkEnd w:id="188"/>
      <w:r>
        <w:t>与效益分析</w:t>
      </w:r>
      <w:bookmarkEnd w:id="189"/>
    </w:p>
    <w:p>
      <w:pPr>
        <w:pStyle w:val="3"/>
        <w:spacing w:line="590" w:lineRule="exact"/>
        <w:ind w:left="643" w:firstLine="0" w:firstLineChars="0"/>
        <w:rPr>
          <w:rFonts w:eastAsia="楷体_GB2312"/>
        </w:rPr>
      </w:pPr>
      <w:bookmarkStart w:id="190" w:name="_Toc460596388"/>
      <w:bookmarkStart w:id="191" w:name="_Toc9328"/>
      <w:bookmarkStart w:id="192" w:name="_Toc19727"/>
      <w:bookmarkStart w:id="193" w:name="_Toc17340"/>
      <w:bookmarkStart w:id="194" w:name="_Toc23784128"/>
      <w:bookmarkStart w:id="195" w:name="_Toc28251"/>
      <w:r>
        <w:rPr>
          <w:rFonts w:eastAsia="楷体_GB2312"/>
        </w:rPr>
        <w:t>8.1工程投资匡算</w:t>
      </w:r>
      <w:bookmarkEnd w:id="190"/>
      <w:bookmarkEnd w:id="191"/>
      <w:bookmarkEnd w:id="192"/>
      <w:bookmarkEnd w:id="193"/>
      <w:bookmarkEnd w:id="194"/>
      <w:bookmarkEnd w:id="195"/>
    </w:p>
    <w:p>
      <w:pPr>
        <w:adjustRightInd w:val="0"/>
        <w:snapToGrid w:val="0"/>
        <w:spacing w:line="590" w:lineRule="exact"/>
        <w:ind w:firstLine="640"/>
        <w:rPr>
          <w:rFonts w:eastAsia="仿宋_GB2312"/>
          <w:sz w:val="32"/>
          <w:szCs w:val="32"/>
        </w:rPr>
      </w:pPr>
      <w:r>
        <w:rPr>
          <w:rFonts w:eastAsia="仿宋_GB2312"/>
          <w:sz w:val="32"/>
          <w:szCs w:val="32"/>
        </w:rPr>
        <w:t>廊坊市潮白河流域达标治理重点工程主要包括流域污染源治理、流域河道综合治理与生态修复，工程项目总数17个，总投资约3.51亿元。</w:t>
      </w:r>
    </w:p>
    <w:p>
      <w:pPr>
        <w:adjustRightInd w:val="0"/>
        <w:snapToGrid w:val="0"/>
        <w:spacing w:line="590" w:lineRule="exact"/>
        <w:ind w:firstLine="640"/>
        <w:rPr>
          <w:rFonts w:eastAsia="仿宋_GB2312"/>
          <w:sz w:val="32"/>
          <w:szCs w:val="32"/>
        </w:rPr>
      </w:pPr>
      <w:r>
        <w:rPr>
          <w:rFonts w:eastAsia="仿宋_GB2312"/>
          <w:sz w:val="32"/>
          <w:szCs w:val="32"/>
        </w:rPr>
        <w:t>其中，流域污染源治理类项目5个，包括污水处理厂及配套管网建设1个、分散污水处理设施建设1个、城镇污水管网完善3个，投资约2.09亿元；流域河道综合治理与生态修复类项目12个，包括河道综合整治2个、河道管护3个、自然生态系统建设2个、藻类治理及综合管控3个、中水回用1个、河道清淤1个，投资约1.42亿元。具体见附表1。</w:t>
      </w:r>
    </w:p>
    <w:p>
      <w:pPr>
        <w:pStyle w:val="3"/>
        <w:spacing w:line="590" w:lineRule="exact"/>
        <w:ind w:left="643" w:firstLine="0" w:firstLineChars="0"/>
        <w:rPr>
          <w:rFonts w:eastAsia="楷体_GB2312"/>
        </w:rPr>
      </w:pPr>
      <w:bookmarkStart w:id="196" w:name="_Toc22995"/>
      <w:bookmarkStart w:id="197" w:name="_Toc20473"/>
      <w:bookmarkStart w:id="198" w:name="_Toc16192"/>
      <w:bookmarkStart w:id="199" w:name="_Toc6675"/>
      <w:bookmarkStart w:id="200" w:name="_Toc23784129"/>
      <w:bookmarkStart w:id="201" w:name="_Toc460596391"/>
      <w:r>
        <w:rPr>
          <w:rFonts w:eastAsia="楷体_GB2312"/>
        </w:rPr>
        <w:t>8.2目标可达性分析</w:t>
      </w:r>
      <w:bookmarkEnd w:id="196"/>
      <w:bookmarkEnd w:id="197"/>
      <w:bookmarkEnd w:id="198"/>
      <w:bookmarkEnd w:id="199"/>
      <w:bookmarkEnd w:id="200"/>
      <w:bookmarkEnd w:id="201"/>
    </w:p>
    <w:p>
      <w:pPr>
        <w:adjustRightInd w:val="0"/>
        <w:snapToGrid w:val="0"/>
        <w:spacing w:line="590" w:lineRule="exact"/>
        <w:ind w:firstLine="640"/>
        <w:rPr>
          <w:rFonts w:eastAsia="仿宋_GB2312"/>
          <w:sz w:val="32"/>
          <w:szCs w:val="32"/>
        </w:rPr>
      </w:pPr>
      <w:r>
        <w:rPr>
          <w:rFonts w:eastAsia="仿宋_GB2312"/>
          <w:sz w:val="32"/>
          <w:szCs w:val="32"/>
        </w:rPr>
        <w:t>在上游来水（含运潮减河、北运河）水质稳定达到地表水V类（或以上）的情况下，通过实施本方案的重点工程，潮白河出境水质可稳定达到V类。</w:t>
      </w:r>
    </w:p>
    <w:p>
      <w:pPr>
        <w:adjustRightInd w:val="0"/>
        <w:snapToGrid w:val="0"/>
        <w:spacing w:line="590" w:lineRule="exact"/>
        <w:ind w:firstLine="640"/>
        <w:rPr>
          <w:rFonts w:eastAsia="仿宋_GB2312"/>
          <w:sz w:val="32"/>
          <w:szCs w:val="32"/>
        </w:rPr>
      </w:pPr>
      <w:r>
        <w:rPr>
          <w:rFonts w:eastAsia="仿宋_GB2312"/>
          <w:sz w:val="32"/>
          <w:szCs w:val="32"/>
        </w:rPr>
        <w:t>通过实施城镇污水配套管网建设工程，可以实现区域城镇生活和工业废水全收集，减少进入水体的污染负荷。通过建成分散式污水处理设施，将减少堤内村庄对潮白河水体的直接污染。</w:t>
      </w:r>
    </w:p>
    <w:p>
      <w:pPr>
        <w:adjustRightInd w:val="0"/>
        <w:snapToGrid w:val="0"/>
        <w:spacing w:line="590" w:lineRule="exact"/>
        <w:ind w:firstLine="640"/>
        <w:rPr>
          <w:rFonts w:eastAsia="仿宋_GB2312"/>
          <w:sz w:val="32"/>
          <w:szCs w:val="32"/>
        </w:rPr>
      </w:pPr>
      <w:r>
        <w:rPr>
          <w:rFonts w:eastAsia="仿宋_GB2312"/>
          <w:sz w:val="32"/>
          <w:szCs w:val="32"/>
        </w:rPr>
        <w:t>通过自然生态修复项目，使潮白河干流水体、排干渠水体得到生态化深度净化处理，可以保障国控断面水质目标的实现。</w:t>
      </w:r>
    </w:p>
    <w:p>
      <w:pPr>
        <w:adjustRightInd w:val="0"/>
        <w:snapToGrid w:val="0"/>
        <w:spacing w:line="590" w:lineRule="exact"/>
        <w:ind w:firstLine="640"/>
        <w:rPr>
          <w:rFonts w:eastAsia="仿宋_GB2312"/>
          <w:sz w:val="32"/>
          <w:szCs w:val="32"/>
        </w:rPr>
      </w:pPr>
      <w:r>
        <w:rPr>
          <w:rFonts w:eastAsia="仿宋_GB2312"/>
          <w:sz w:val="32"/>
          <w:szCs w:val="32"/>
        </w:rPr>
        <w:t>在实施治理措施之后，潮白河吴村断面、大套桥断面的主要污染物浓度可达到方案设定目标（即地表水质量V类标准）。</w:t>
      </w:r>
    </w:p>
    <w:p>
      <w:pPr>
        <w:pStyle w:val="3"/>
        <w:spacing w:line="590" w:lineRule="exact"/>
        <w:ind w:left="643" w:firstLine="0" w:firstLineChars="0"/>
        <w:rPr>
          <w:rFonts w:eastAsia="楷体_GB2312"/>
        </w:rPr>
      </w:pPr>
      <w:bookmarkStart w:id="202" w:name="_Toc460596396"/>
      <w:bookmarkStart w:id="203" w:name="_Toc29058"/>
      <w:bookmarkStart w:id="204" w:name="_Toc32406"/>
      <w:bookmarkStart w:id="205" w:name="_Toc547"/>
      <w:bookmarkStart w:id="206" w:name="_Toc12920"/>
      <w:bookmarkStart w:id="207" w:name="_Toc23784130"/>
      <w:r>
        <w:rPr>
          <w:rFonts w:eastAsia="楷体_GB2312"/>
        </w:rPr>
        <w:t>8.3效益分析</w:t>
      </w:r>
      <w:bookmarkEnd w:id="202"/>
      <w:bookmarkEnd w:id="203"/>
      <w:bookmarkEnd w:id="204"/>
      <w:bookmarkEnd w:id="205"/>
      <w:bookmarkEnd w:id="206"/>
      <w:bookmarkEnd w:id="207"/>
    </w:p>
    <w:p>
      <w:pPr>
        <w:pStyle w:val="4"/>
        <w:spacing w:line="590" w:lineRule="exact"/>
        <w:ind w:firstLine="643"/>
      </w:pPr>
      <w:bookmarkStart w:id="208" w:name="_Toc460596397"/>
      <w:bookmarkStart w:id="209" w:name="_Toc30153"/>
      <w:bookmarkStart w:id="210" w:name="_Toc14449"/>
      <w:bookmarkStart w:id="211" w:name="_Toc21115"/>
      <w:bookmarkStart w:id="212" w:name="_Toc23784131"/>
      <w:bookmarkStart w:id="213" w:name="_Toc4306"/>
      <w:r>
        <w:t>8.3.1生态环境效益</w:t>
      </w:r>
      <w:bookmarkEnd w:id="208"/>
      <w:bookmarkEnd w:id="209"/>
      <w:bookmarkEnd w:id="210"/>
      <w:bookmarkEnd w:id="211"/>
      <w:bookmarkEnd w:id="212"/>
      <w:bookmarkEnd w:id="213"/>
    </w:p>
    <w:p>
      <w:pPr>
        <w:adjustRightInd w:val="0"/>
        <w:snapToGrid w:val="0"/>
        <w:spacing w:line="590" w:lineRule="exact"/>
        <w:ind w:firstLine="640"/>
        <w:rPr>
          <w:rFonts w:eastAsia="仿宋_GB2312"/>
          <w:sz w:val="32"/>
          <w:szCs w:val="32"/>
        </w:rPr>
      </w:pPr>
      <w:r>
        <w:rPr>
          <w:rFonts w:eastAsia="仿宋_GB2312"/>
          <w:sz w:val="32"/>
          <w:szCs w:val="32"/>
        </w:rPr>
        <w:t>通过潮白河流域水污染治理项目的实施，将进一步降低入河污染的排放总量，水环境质量得到显著改善，生产生活污水得到有效处置，河流生态环境质量全面提升，河清、岸绿、景美的生态保护格局基本形成。此外，人工湿地工程建成后，将改善滨河岸带景观，为营建美丽乡村奠定基础。</w:t>
      </w:r>
    </w:p>
    <w:p>
      <w:pPr>
        <w:pStyle w:val="4"/>
        <w:spacing w:line="590" w:lineRule="exact"/>
        <w:ind w:firstLine="643"/>
      </w:pPr>
      <w:bookmarkStart w:id="214" w:name="_Toc460596398"/>
      <w:bookmarkStart w:id="215" w:name="_Toc18584"/>
      <w:bookmarkStart w:id="216" w:name="_Toc19029"/>
      <w:bookmarkStart w:id="217" w:name="_Toc11048"/>
      <w:bookmarkStart w:id="218" w:name="_Toc23784132"/>
      <w:bookmarkStart w:id="219" w:name="_Toc16369"/>
      <w:r>
        <w:t>8.3.2投融资效益</w:t>
      </w:r>
      <w:bookmarkEnd w:id="214"/>
      <w:bookmarkEnd w:id="215"/>
      <w:bookmarkEnd w:id="216"/>
      <w:bookmarkEnd w:id="217"/>
      <w:bookmarkEnd w:id="218"/>
      <w:bookmarkEnd w:id="219"/>
    </w:p>
    <w:p>
      <w:pPr>
        <w:adjustRightInd w:val="0"/>
        <w:snapToGrid w:val="0"/>
        <w:spacing w:line="590" w:lineRule="exact"/>
        <w:ind w:firstLine="640"/>
        <w:rPr>
          <w:rFonts w:eastAsia="仿宋_GB2312"/>
          <w:sz w:val="32"/>
          <w:szCs w:val="32"/>
        </w:rPr>
      </w:pPr>
      <w:r>
        <w:rPr>
          <w:rFonts w:eastAsia="仿宋_GB2312"/>
          <w:sz w:val="32"/>
          <w:szCs w:val="32"/>
        </w:rPr>
        <w:t>按照多元化投资投入的原则，投资概算包括“中央财政投入”“地方财政投入”“社会融资”三部分构成，体现国家重点扶持引导地方配合实施社会积极参与的融资原则。</w:t>
      </w:r>
    </w:p>
    <w:p>
      <w:pPr>
        <w:adjustRightInd w:val="0"/>
        <w:snapToGrid w:val="0"/>
        <w:spacing w:line="590" w:lineRule="exact"/>
        <w:ind w:firstLine="640"/>
        <w:rPr>
          <w:rFonts w:eastAsia="仿宋_GB2312"/>
          <w:sz w:val="32"/>
          <w:szCs w:val="32"/>
        </w:rPr>
      </w:pPr>
      <w:r>
        <w:rPr>
          <w:rFonts w:eastAsia="仿宋_GB2312"/>
          <w:sz w:val="32"/>
          <w:szCs w:val="32"/>
        </w:rPr>
        <w:t>潮白河水污染治理工程所涉及项目将力争省、市年度水污染防治资金支持项目。本方案实施后，将在中央资金的引导下，地方自筹资金积极地开展水污染综合治理工程，有效解决潮白河流域水环境问题，形成良好的社会效益和环境效益。</w:t>
      </w:r>
    </w:p>
    <w:p>
      <w:pPr>
        <w:pStyle w:val="4"/>
        <w:spacing w:line="590" w:lineRule="exact"/>
        <w:ind w:firstLine="643"/>
      </w:pPr>
      <w:bookmarkStart w:id="220" w:name="_Toc460596399"/>
      <w:bookmarkStart w:id="221" w:name="_Toc23062"/>
      <w:bookmarkStart w:id="222" w:name="_Toc17204"/>
      <w:bookmarkStart w:id="223" w:name="_Toc13387"/>
      <w:bookmarkStart w:id="224" w:name="_Toc8514"/>
      <w:bookmarkStart w:id="225" w:name="_Toc23784133"/>
      <w:r>
        <w:t>8.3.3管理</w:t>
      </w:r>
      <w:bookmarkEnd w:id="220"/>
      <w:bookmarkEnd w:id="221"/>
      <w:bookmarkEnd w:id="222"/>
      <w:bookmarkEnd w:id="223"/>
      <w:bookmarkEnd w:id="224"/>
      <w:r>
        <w:t>效益</w:t>
      </w:r>
      <w:bookmarkEnd w:id="225"/>
    </w:p>
    <w:p>
      <w:pPr>
        <w:adjustRightInd w:val="0"/>
        <w:snapToGrid w:val="0"/>
        <w:spacing w:line="590" w:lineRule="exact"/>
        <w:ind w:firstLine="640"/>
        <w:rPr>
          <w:rFonts w:eastAsia="仿宋_GB2312"/>
          <w:sz w:val="32"/>
          <w:szCs w:val="32"/>
        </w:rPr>
      </w:pPr>
      <w:r>
        <w:rPr>
          <w:rFonts w:eastAsia="仿宋_GB2312"/>
          <w:sz w:val="32"/>
          <w:szCs w:val="32"/>
        </w:rPr>
        <w:t>本方案实施以后将建立工程进度管理制度、建设单位现场督查制度</w:t>
      </w:r>
      <w:r>
        <w:rPr>
          <w:rFonts w:hint="eastAsia" w:eastAsia="仿宋_GB2312"/>
          <w:sz w:val="32"/>
          <w:szCs w:val="32"/>
        </w:rPr>
        <w:t>、</w:t>
      </w:r>
      <w:r>
        <w:rPr>
          <w:rFonts w:eastAsia="仿宋_GB2312"/>
          <w:sz w:val="32"/>
          <w:szCs w:val="32"/>
        </w:rPr>
        <w:t>建设项目环境保护监督管理制度等一系列管理制度，固化项目管理经验。进一步加大对建设环境保护工程的长效管理机制的建设，建立河流污染整治巩固长效机制和村镇污水处理设施长效运行管理机制。环境管理体系的完善将有效促进区域水污染防治工作，为本市其他水体水质达标方案实施提供经验借鉴。</w:t>
      </w:r>
    </w:p>
    <w:p>
      <w:pPr>
        <w:pStyle w:val="4"/>
        <w:spacing w:line="590" w:lineRule="exact"/>
        <w:ind w:firstLine="643"/>
      </w:pPr>
      <w:bookmarkStart w:id="226" w:name="_Toc19806"/>
      <w:bookmarkStart w:id="227" w:name="_Toc16534"/>
      <w:bookmarkStart w:id="228" w:name="_Toc20093"/>
      <w:bookmarkStart w:id="229" w:name="_Toc2468"/>
      <w:bookmarkStart w:id="230" w:name="_Toc460596400"/>
      <w:bookmarkStart w:id="231" w:name="_Toc23784134"/>
      <w:r>
        <w:t>8.3.4社会</w:t>
      </w:r>
      <w:bookmarkEnd w:id="226"/>
      <w:bookmarkEnd w:id="227"/>
      <w:bookmarkEnd w:id="228"/>
      <w:bookmarkEnd w:id="229"/>
      <w:bookmarkEnd w:id="230"/>
      <w:r>
        <w:t>效益</w:t>
      </w:r>
      <w:bookmarkEnd w:id="231"/>
    </w:p>
    <w:p>
      <w:pPr>
        <w:adjustRightInd w:val="0"/>
        <w:snapToGrid w:val="0"/>
        <w:spacing w:line="590" w:lineRule="exact"/>
        <w:ind w:firstLine="640"/>
        <w:rPr>
          <w:rFonts w:eastAsia="仿宋_GB2312"/>
          <w:sz w:val="32"/>
          <w:szCs w:val="32"/>
        </w:rPr>
      </w:pPr>
      <w:r>
        <w:rPr>
          <w:rFonts w:eastAsia="仿宋_GB2312"/>
          <w:sz w:val="32"/>
          <w:szCs w:val="32"/>
        </w:rPr>
        <w:t>本方案的实施，将有效促进潮白河流域区域水污染物的减少、生态环境的改善、资源的合理化再生，推动生态农业、生态养殖、生态旅游等产业的发展，保证区域可持续发展，为居民提供更好的生态宜居环境。</w:t>
      </w:r>
    </w:p>
    <w:p>
      <w:pPr>
        <w:adjustRightInd w:val="0"/>
        <w:snapToGrid w:val="0"/>
        <w:spacing w:line="590" w:lineRule="exact"/>
        <w:ind w:firstLine="640"/>
        <w:rPr>
          <w:rFonts w:eastAsia="仿宋_GB2312"/>
          <w:sz w:val="32"/>
          <w:szCs w:val="32"/>
        </w:rPr>
      </w:pPr>
      <w:r>
        <w:rPr>
          <w:rFonts w:eastAsia="仿宋_GB2312"/>
          <w:sz w:val="32"/>
          <w:szCs w:val="32"/>
        </w:rPr>
        <w:t>其社会效益主要表现在以下几个方面：</w:t>
      </w:r>
    </w:p>
    <w:p>
      <w:pPr>
        <w:adjustRightInd w:val="0"/>
        <w:snapToGrid w:val="0"/>
        <w:spacing w:line="590" w:lineRule="exact"/>
        <w:ind w:firstLine="640"/>
        <w:rPr>
          <w:rFonts w:eastAsia="仿宋_GB2312"/>
          <w:sz w:val="32"/>
          <w:szCs w:val="32"/>
        </w:rPr>
      </w:pPr>
      <w:r>
        <w:rPr>
          <w:rFonts w:eastAsia="仿宋_GB2312"/>
          <w:sz w:val="32"/>
          <w:szCs w:val="32"/>
        </w:rPr>
        <w:t>（1）改善自然环境，促进社会稳定</w:t>
      </w:r>
    </w:p>
    <w:p>
      <w:pPr>
        <w:adjustRightInd w:val="0"/>
        <w:snapToGrid w:val="0"/>
        <w:spacing w:line="590" w:lineRule="exact"/>
        <w:ind w:firstLine="640"/>
        <w:rPr>
          <w:rFonts w:eastAsia="仿宋_GB2312"/>
          <w:sz w:val="32"/>
          <w:szCs w:val="32"/>
        </w:rPr>
      </w:pPr>
      <w:r>
        <w:rPr>
          <w:rFonts w:eastAsia="仿宋_GB2312"/>
          <w:sz w:val="32"/>
          <w:szCs w:val="32"/>
        </w:rPr>
        <w:t>本方案的实施，将使农村生活污水等处理设施逐步完善，区域生态环境得到改善，人居环境大幅提升，居民的健康水平和生活质量全方位提高，有效促进社会稳定发展。</w:t>
      </w:r>
    </w:p>
    <w:p>
      <w:pPr>
        <w:adjustRightInd w:val="0"/>
        <w:snapToGrid w:val="0"/>
        <w:spacing w:line="590" w:lineRule="exact"/>
        <w:ind w:firstLine="640"/>
        <w:rPr>
          <w:rFonts w:eastAsia="仿宋_GB2312"/>
          <w:sz w:val="32"/>
          <w:szCs w:val="32"/>
        </w:rPr>
      </w:pPr>
      <w:r>
        <w:rPr>
          <w:rFonts w:eastAsia="仿宋_GB2312"/>
          <w:sz w:val="32"/>
          <w:szCs w:val="32"/>
        </w:rPr>
        <w:t>（2）促进和保障旅游业的发展</w:t>
      </w:r>
    </w:p>
    <w:p>
      <w:pPr>
        <w:adjustRightInd w:val="0"/>
        <w:snapToGrid w:val="0"/>
        <w:spacing w:line="590" w:lineRule="exact"/>
        <w:ind w:firstLine="640"/>
        <w:rPr>
          <w:rFonts w:eastAsia="仿宋_GB2312"/>
          <w:sz w:val="32"/>
          <w:szCs w:val="32"/>
        </w:rPr>
      </w:pPr>
      <w:r>
        <w:rPr>
          <w:rFonts w:eastAsia="仿宋_GB2312"/>
          <w:sz w:val="32"/>
          <w:szCs w:val="32"/>
        </w:rPr>
        <w:t>本项目的实施可以使区域水体得到一定程度的改善，并通过工程建设的方式增加潮白河周边的水域和水景面积，使湿地系统与自然水景相交融，在潮白河河畔形成一处和谐美观的生态景观，从而促进三河市、大厂县、香河县生态旅游业的发展，提高旅游价值。</w:t>
      </w:r>
    </w:p>
    <w:p>
      <w:pPr>
        <w:adjustRightInd w:val="0"/>
        <w:snapToGrid w:val="0"/>
        <w:spacing w:line="590" w:lineRule="exact"/>
        <w:ind w:firstLine="640"/>
        <w:rPr>
          <w:rFonts w:eastAsia="仿宋_GB2312"/>
          <w:sz w:val="32"/>
          <w:szCs w:val="32"/>
        </w:rPr>
      </w:pPr>
      <w:r>
        <w:rPr>
          <w:rFonts w:eastAsia="仿宋_GB2312"/>
          <w:sz w:val="32"/>
          <w:szCs w:val="32"/>
        </w:rPr>
        <w:t>（3）提高公众素质，促进区域文明发展</w:t>
      </w:r>
    </w:p>
    <w:p>
      <w:pPr>
        <w:adjustRightInd w:val="0"/>
        <w:snapToGrid w:val="0"/>
        <w:spacing w:line="590" w:lineRule="exact"/>
        <w:ind w:firstLine="640"/>
        <w:rPr>
          <w:rFonts w:eastAsia="仿宋_GB2312"/>
          <w:sz w:val="32"/>
          <w:szCs w:val="32"/>
        </w:rPr>
      </w:pPr>
      <w:r>
        <w:rPr>
          <w:rFonts w:eastAsia="仿宋_GB2312"/>
          <w:sz w:val="32"/>
          <w:szCs w:val="32"/>
        </w:rPr>
        <w:t>通过方案实施，公众生态环境意识进一步增强，社会生态文明建设得到显著提升，经济社会与资源环境可持续协调发展的态势基本形成，从而促进三河市、大厂县、香河县物质文明、政治文明、精神文明与生态文明建设协调发展。</w:t>
      </w:r>
    </w:p>
    <w:p>
      <w:pPr>
        <w:pStyle w:val="2"/>
        <w:spacing w:line="590" w:lineRule="exact"/>
        <w:ind w:left="640" w:firstLine="0" w:firstLineChars="0"/>
      </w:pPr>
      <w:bookmarkStart w:id="232" w:name="_Toc17835"/>
      <w:bookmarkStart w:id="233" w:name="_Toc8669"/>
      <w:bookmarkStart w:id="234" w:name="_Toc4811"/>
      <w:bookmarkStart w:id="235" w:name="_Toc20269"/>
      <w:bookmarkStart w:id="236" w:name="_Toc23784135"/>
      <w:bookmarkStart w:id="237" w:name="_Toc460596401"/>
      <w:r>
        <w:t>九、保障措施</w:t>
      </w:r>
      <w:bookmarkEnd w:id="232"/>
      <w:bookmarkEnd w:id="233"/>
      <w:bookmarkEnd w:id="234"/>
      <w:bookmarkEnd w:id="235"/>
      <w:bookmarkEnd w:id="236"/>
      <w:bookmarkEnd w:id="237"/>
    </w:p>
    <w:p>
      <w:pPr>
        <w:pStyle w:val="3"/>
        <w:spacing w:line="590" w:lineRule="exact"/>
        <w:ind w:left="643" w:firstLine="0" w:firstLineChars="0"/>
        <w:rPr>
          <w:rFonts w:eastAsia="楷体_GB2312"/>
        </w:rPr>
      </w:pPr>
      <w:bookmarkStart w:id="238" w:name="_Toc460596402"/>
      <w:bookmarkStart w:id="239" w:name="_Toc18949"/>
      <w:bookmarkStart w:id="240" w:name="_Toc15638"/>
      <w:bookmarkStart w:id="241" w:name="_Toc12835"/>
      <w:bookmarkStart w:id="242" w:name="_Toc22386"/>
      <w:bookmarkStart w:id="243" w:name="_Toc23784136"/>
      <w:r>
        <w:rPr>
          <w:rFonts w:eastAsia="楷体_GB2312"/>
        </w:rPr>
        <w:t>9.1落实各方责任</w:t>
      </w:r>
      <w:bookmarkEnd w:id="238"/>
      <w:bookmarkEnd w:id="239"/>
      <w:bookmarkEnd w:id="240"/>
      <w:bookmarkEnd w:id="241"/>
      <w:bookmarkEnd w:id="242"/>
      <w:bookmarkEnd w:id="243"/>
    </w:p>
    <w:p>
      <w:pPr>
        <w:pStyle w:val="4"/>
        <w:spacing w:line="590" w:lineRule="exact"/>
        <w:ind w:firstLine="643"/>
      </w:pPr>
      <w:bookmarkStart w:id="244" w:name="_Toc460596403"/>
      <w:bookmarkStart w:id="245" w:name="_Toc2599"/>
      <w:bookmarkStart w:id="246" w:name="_Toc24175"/>
      <w:bookmarkStart w:id="247" w:name="_Toc24708"/>
      <w:bookmarkStart w:id="248" w:name="_Toc30008"/>
      <w:bookmarkStart w:id="249" w:name="_Toc23784137"/>
      <w:r>
        <w:t>9.1.1坚持党政主导</w:t>
      </w:r>
      <w:bookmarkEnd w:id="244"/>
      <w:bookmarkEnd w:id="245"/>
      <w:bookmarkEnd w:id="246"/>
      <w:bookmarkEnd w:id="247"/>
      <w:bookmarkEnd w:id="248"/>
      <w:bookmarkEnd w:id="249"/>
    </w:p>
    <w:p>
      <w:pPr>
        <w:adjustRightInd w:val="0"/>
        <w:snapToGrid w:val="0"/>
        <w:spacing w:line="590" w:lineRule="exact"/>
        <w:ind w:firstLine="640"/>
        <w:rPr>
          <w:rFonts w:eastAsia="仿宋_GB2312"/>
          <w:sz w:val="32"/>
          <w:szCs w:val="32"/>
        </w:rPr>
      </w:pPr>
      <w:r>
        <w:rPr>
          <w:rFonts w:eastAsia="仿宋_GB2312"/>
          <w:sz w:val="32"/>
          <w:szCs w:val="32"/>
        </w:rPr>
        <w:t>落实党政同责、一岗双责和终身追责。实行各级党政主要领导亲自抓水污染防治工作机制。县人民政府与涉及乡镇政府签订目标责任书，分解落实目标任务，定期把方案实施情况向社会公布，并作为对领导班子和领导干部综合考核评价的依据。</w:t>
      </w:r>
    </w:p>
    <w:p>
      <w:pPr>
        <w:pStyle w:val="4"/>
        <w:spacing w:line="590" w:lineRule="exact"/>
        <w:ind w:firstLine="643"/>
      </w:pPr>
      <w:bookmarkStart w:id="250" w:name="_Toc23784138"/>
      <w:r>
        <w:t>9.1.2强化责任考核</w:t>
      </w:r>
      <w:bookmarkEnd w:id="250"/>
    </w:p>
    <w:p>
      <w:pPr>
        <w:adjustRightInd w:val="0"/>
        <w:snapToGrid w:val="0"/>
        <w:spacing w:line="590" w:lineRule="exact"/>
        <w:ind w:firstLine="640"/>
        <w:rPr>
          <w:rFonts w:eastAsia="仿宋_GB2312"/>
          <w:sz w:val="32"/>
          <w:szCs w:val="32"/>
        </w:rPr>
      </w:pPr>
      <w:r>
        <w:rPr>
          <w:rFonts w:eastAsia="仿宋_GB2312"/>
          <w:sz w:val="32"/>
          <w:szCs w:val="32"/>
        </w:rPr>
        <w:t>对未能完成水污染防治工作目标任务或者工作责任不落实的，可以通过约谈、挂牌督办、通报等方式，督促整改和落实。对因工作不力、履职缺位等导致未能有效应对水环境污染事件的，以及干预、伪造数据和没有完成年度目标任务的，要依法依纪追究有关单位和人员责任。三河市、大厂县、香河县以及各乡镇党委和政府对本地区生态环境和资源保护负总责，把履行生态环境建设职责与干部选拔任用挂钩，对在生态环境和资源方面造成严重破坏负有责任的公职人员不得提拔使用或者转任重要职务，应当追究相关责任的，按照《党政领导干部生态环境损害责任追究办法（试行）》有关规定处理。</w:t>
      </w:r>
    </w:p>
    <w:p>
      <w:pPr>
        <w:pStyle w:val="4"/>
        <w:spacing w:line="590" w:lineRule="exact"/>
        <w:ind w:firstLine="643"/>
      </w:pPr>
      <w:bookmarkStart w:id="251" w:name="_Toc460596404"/>
      <w:bookmarkStart w:id="252" w:name="_Toc25445"/>
      <w:bookmarkStart w:id="253" w:name="_Toc20677"/>
      <w:bookmarkStart w:id="254" w:name="_Toc31896"/>
      <w:bookmarkStart w:id="255" w:name="_Toc29847"/>
      <w:bookmarkStart w:id="256" w:name="_Toc23784139"/>
      <w:r>
        <w:t>9.1.3加强部门联动</w:t>
      </w:r>
      <w:bookmarkEnd w:id="251"/>
      <w:bookmarkEnd w:id="252"/>
      <w:bookmarkEnd w:id="253"/>
      <w:bookmarkEnd w:id="254"/>
      <w:bookmarkEnd w:id="255"/>
      <w:bookmarkEnd w:id="256"/>
    </w:p>
    <w:p>
      <w:pPr>
        <w:adjustRightInd w:val="0"/>
        <w:snapToGrid w:val="0"/>
        <w:spacing w:line="590" w:lineRule="exact"/>
        <w:ind w:firstLine="640"/>
        <w:rPr>
          <w:rFonts w:eastAsia="仿宋_GB2312"/>
          <w:sz w:val="32"/>
          <w:szCs w:val="32"/>
        </w:rPr>
      </w:pPr>
      <w:r>
        <w:rPr>
          <w:rFonts w:eastAsia="仿宋_GB2312"/>
          <w:sz w:val="32"/>
          <w:szCs w:val="32"/>
        </w:rPr>
        <w:t>强化部门协作机制，定期研究解决重大问题。三河市、大厂县、香河县人民政府，及其生态环境、发展改革、公安、水利、住建、旅游、工信、农业、畜牧、城市综合行政执法等有关部门和乡（镇）政府应当依法履行职责，并按照方案任务要求，加强协作配合，做好相关工作。廊坊市</w:t>
      </w:r>
      <w:r>
        <w:rPr>
          <w:rFonts w:hint="eastAsia" w:eastAsia="仿宋_GB2312"/>
          <w:sz w:val="32"/>
          <w:szCs w:val="32"/>
        </w:rPr>
        <w:t>生</w:t>
      </w:r>
      <w:r>
        <w:rPr>
          <w:rFonts w:eastAsia="仿宋_GB2312"/>
          <w:sz w:val="32"/>
          <w:szCs w:val="32"/>
        </w:rPr>
        <w:t>态环境局要加强统一指导、协调和监督，工作进展及时向廊坊市政府、省生态环境厅报告。</w:t>
      </w:r>
    </w:p>
    <w:p>
      <w:pPr>
        <w:pStyle w:val="4"/>
        <w:spacing w:line="590" w:lineRule="exact"/>
        <w:ind w:firstLine="643"/>
      </w:pPr>
      <w:bookmarkStart w:id="257" w:name="_Toc460596405"/>
      <w:bookmarkStart w:id="258" w:name="_Toc18221"/>
      <w:bookmarkStart w:id="259" w:name="_Toc10321"/>
      <w:bookmarkStart w:id="260" w:name="_Toc3429"/>
      <w:bookmarkStart w:id="261" w:name="_Toc14099"/>
      <w:bookmarkStart w:id="262" w:name="_Toc23784140"/>
      <w:r>
        <w:t>9.1.4推动公众参与</w:t>
      </w:r>
      <w:bookmarkEnd w:id="257"/>
      <w:bookmarkEnd w:id="258"/>
      <w:bookmarkEnd w:id="259"/>
      <w:bookmarkEnd w:id="260"/>
      <w:bookmarkEnd w:id="261"/>
      <w:bookmarkEnd w:id="262"/>
    </w:p>
    <w:p>
      <w:pPr>
        <w:adjustRightInd w:val="0"/>
        <w:snapToGrid w:val="0"/>
        <w:spacing w:line="590" w:lineRule="exact"/>
        <w:ind w:firstLine="640"/>
        <w:rPr>
          <w:rFonts w:eastAsia="仿宋_GB2312"/>
          <w:sz w:val="32"/>
          <w:szCs w:val="32"/>
        </w:rPr>
      </w:pPr>
      <w:r>
        <w:rPr>
          <w:rFonts w:eastAsia="仿宋_GB2312"/>
          <w:sz w:val="32"/>
          <w:szCs w:val="32"/>
        </w:rPr>
        <w:t>加强宣传教育。把潮白河水资源、水环境保护和水情知识纳入三河市、大厂县、香河县教育体系，充分发挥主流新闻媒体的舆论导向作用，提高公众，特别是潮白河沿岸村庄居民对经济社会发展和环境保护客观规律的认识。支持民间环保机构、志愿者开展工作。</w:t>
      </w:r>
    </w:p>
    <w:p>
      <w:pPr>
        <w:adjustRightInd w:val="0"/>
        <w:snapToGrid w:val="0"/>
        <w:spacing w:line="590" w:lineRule="exact"/>
        <w:ind w:firstLine="640"/>
        <w:rPr>
          <w:rFonts w:eastAsia="仿宋_GB2312"/>
          <w:sz w:val="32"/>
          <w:szCs w:val="32"/>
        </w:rPr>
      </w:pPr>
      <w:r>
        <w:rPr>
          <w:rFonts w:eastAsia="仿宋_GB2312"/>
          <w:sz w:val="32"/>
          <w:szCs w:val="32"/>
        </w:rPr>
        <w:t>为公众、社会组织提供水污染防治法律法规培训和政策咨询，邀请其全程参与环保执法行动和水污染事件调查。公开曝光环境违法典型案件。健全举报制度，充分发挥环保举报热线和网络平台作用，深入开展“随手拍”等活动，依托互联网创新环境保护公众参与模式。限期办理群众举报投诉的环境问题，一经查实，可给予举报人奖励。通过公开听证、网络征集等形式，充分听取公众对重大决策和建设项目的意见。完善社会力量参与环保监督机制，邀请公民、法人和其他组织参与监督环境执法。完善媒体参与执法、挂牌督办与公开曝光等工作机制。</w:t>
      </w:r>
    </w:p>
    <w:p>
      <w:pPr>
        <w:pStyle w:val="3"/>
        <w:spacing w:line="590" w:lineRule="exact"/>
        <w:ind w:left="643" w:firstLine="0" w:firstLineChars="0"/>
        <w:rPr>
          <w:rFonts w:eastAsia="楷体_GB2312"/>
        </w:rPr>
      </w:pPr>
      <w:bookmarkStart w:id="263" w:name="_Toc22524"/>
      <w:bookmarkStart w:id="264" w:name="_Toc16627"/>
      <w:bookmarkStart w:id="265" w:name="_Toc23502"/>
      <w:bookmarkStart w:id="266" w:name="_Toc3529"/>
      <w:bookmarkStart w:id="267" w:name="_Toc23784141"/>
      <w:bookmarkStart w:id="268" w:name="_Toc460596406"/>
      <w:r>
        <w:rPr>
          <w:rFonts w:eastAsia="楷体_GB2312"/>
        </w:rPr>
        <w:t>9.2严格执法监管</w:t>
      </w:r>
      <w:bookmarkEnd w:id="263"/>
      <w:bookmarkEnd w:id="264"/>
      <w:bookmarkEnd w:id="265"/>
      <w:bookmarkEnd w:id="266"/>
      <w:bookmarkEnd w:id="267"/>
      <w:bookmarkEnd w:id="268"/>
    </w:p>
    <w:p>
      <w:pPr>
        <w:pStyle w:val="4"/>
        <w:spacing w:line="590" w:lineRule="exact"/>
        <w:ind w:firstLine="643"/>
      </w:pPr>
      <w:bookmarkStart w:id="269" w:name="_Toc4361"/>
      <w:bookmarkStart w:id="270" w:name="_Toc22636"/>
      <w:bookmarkStart w:id="271" w:name="_Toc7768"/>
      <w:bookmarkStart w:id="272" w:name="_Toc20312"/>
      <w:bookmarkStart w:id="273" w:name="_Toc23784142"/>
      <w:bookmarkStart w:id="274" w:name="_Toc460596407"/>
      <w:r>
        <w:t>9.2.1防范水环境风险</w:t>
      </w:r>
      <w:bookmarkEnd w:id="269"/>
      <w:bookmarkEnd w:id="270"/>
      <w:bookmarkEnd w:id="271"/>
      <w:bookmarkEnd w:id="272"/>
      <w:bookmarkEnd w:id="273"/>
      <w:bookmarkEnd w:id="274"/>
    </w:p>
    <w:p>
      <w:pPr>
        <w:adjustRightInd w:val="0"/>
        <w:snapToGrid w:val="0"/>
        <w:spacing w:line="590" w:lineRule="exact"/>
        <w:ind w:firstLine="640"/>
        <w:rPr>
          <w:rFonts w:eastAsia="仿宋_GB2312"/>
          <w:sz w:val="32"/>
          <w:szCs w:val="32"/>
        </w:rPr>
      </w:pPr>
      <w:r>
        <w:rPr>
          <w:rFonts w:eastAsia="仿宋_GB2312"/>
          <w:sz w:val="32"/>
          <w:szCs w:val="32"/>
        </w:rPr>
        <w:t>定期排查沿潮白河及其排干渠周边工业企业、农家乐、养殖户等，落实环境风险防控措施。禁止危险化学品运输车辆进入潮白河大堤路段。潮白河堤内水产养殖未完全退出前，加强水产养殖投入品管理，依法限制使用抗生素类、激素类药物或其他化学物质。</w:t>
      </w:r>
    </w:p>
    <w:p>
      <w:pPr>
        <w:pStyle w:val="4"/>
        <w:spacing w:line="590" w:lineRule="exact"/>
        <w:ind w:firstLine="643"/>
      </w:pPr>
      <w:bookmarkStart w:id="275" w:name="_Toc460596408"/>
      <w:bookmarkStart w:id="276" w:name="_Toc931"/>
      <w:bookmarkStart w:id="277" w:name="_Toc28759"/>
      <w:bookmarkStart w:id="278" w:name="_Toc31963"/>
      <w:bookmarkStart w:id="279" w:name="_Toc6408"/>
      <w:bookmarkStart w:id="280" w:name="_Toc23784143"/>
      <w:r>
        <w:t>9.2.2加大水环境执法力度</w:t>
      </w:r>
      <w:bookmarkEnd w:id="275"/>
      <w:bookmarkEnd w:id="276"/>
      <w:bookmarkEnd w:id="277"/>
      <w:bookmarkEnd w:id="278"/>
      <w:bookmarkEnd w:id="279"/>
      <w:bookmarkEnd w:id="280"/>
    </w:p>
    <w:p>
      <w:pPr>
        <w:adjustRightInd w:val="0"/>
        <w:snapToGrid w:val="0"/>
        <w:spacing w:line="590" w:lineRule="exact"/>
        <w:ind w:firstLine="640"/>
        <w:rPr>
          <w:rFonts w:eastAsia="仿宋_GB2312"/>
          <w:sz w:val="32"/>
          <w:szCs w:val="32"/>
        </w:rPr>
      </w:pPr>
      <w:r>
        <w:rPr>
          <w:rFonts w:eastAsia="仿宋_GB2312"/>
          <w:sz w:val="32"/>
          <w:szCs w:val="32"/>
        </w:rPr>
        <w:t>严格环境执法。坚持日常监管和专项整治相结合，继续深入开展潮白河流域环保专项行动，重点打击工业企业、污水处理厂、畜禽养殖污染等存在的环境违法行为。对非法的作坊式企业、不符合产业政策的“低、小、散”企业进行清理整顿。严格打击潮白河沿岸排污口、暗管排查，重点打击私设暗管或利用渗井、渗坑排放、倾倒含有毒有害污染物废水、含病原体污水。对构成犯罪的，要依法追究刑事责任。对负有连带责任的环境服务第三方机构，依法严格追责。</w:t>
      </w:r>
    </w:p>
    <w:p>
      <w:pPr>
        <w:adjustRightInd w:val="0"/>
        <w:snapToGrid w:val="0"/>
        <w:spacing w:line="590" w:lineRule="exact"/>
        <w:ind w:firstLine="640"/>
        <w:rPr>
          <w:rFonts w:eastAsia="仿宋_GB2312"/>
          <w:sz w:val="32"/>
          <w:szCs w:val="32"/>
        </w:rPr>
      </w:pPr>
      <w:r>
        <w:rPr>
          <w:rFonts w:eastAsia="仿宋_GB2312"/>
          <w:sz w:val="32"/>
          <w:szCs w:val="32"/>
        </w:rPr>
        <w:t>完善部门联动的环保专项行动工作机制，定期组织相关部门开展环保专项行动。健全行政执法与刑事司法联动机制，完善案件移送、联合调查、信息共享和奖惩机制，实现行政执法与刑事司法无缝衔接。</w:t>
      </w:r>
    </w:p>
    <w:p>
      <w:pPr>
        <w:pStyle w:val="4"/>
        <w:spacing w:line="590" w:lineRule="exact"/>
        <w:ind w:firstLine="643"/>
      </w:pPr>
      <w:bookmarkStart w:id="281" w:name="_Toc460596409"/>
      <w:bookmarkStart w:id="282" w:name="_Toc29185"/>
      <w:bookmarkStart w:id="283" w:name="_Toc17985"/>
      <w:bookmarkStart w:id="284" w:name="_Toc8352"/>
      <w:bookmarkStart w:id="285" w:name="_Toc12945"/>
      <w:bookmarkStart w:id="286" w:name="_Toc23784144"/>
      <w:r>
        <w:t>9.2.3提升水环境监管水平</w:t>
      </w:r>
      <w:bookmarkEnd w:id="281"/>
      <w:bookmarkEnd w:id="282"/>
      <w:bookmarkEnd w:id="283"/>
      <w:bookmarkEnd w:id="284"/>
      <w:bookmarkEnd w:id="285"/>
      <w:bookmarkEnd w:id="286"/>
    </w:p>
    <w:p>
      <w:pPr>
        <w:adjustRightInd w:val="0"/>
        <w:snapToGrid w:val="0"/>
        <w:spacing w:line="590" w:lineRule="exact"/>
        <w:ind w:firstLine="640"/>
        <w:rPr>
          <w:rFonts w:eastAsia="仿宋_GB2312"/>
          <w:sz w:val="32"/>
          <w:szCs w:val="32"/>
        </w:rPr>
      </w:pPr>
      <w:r>
        <w:rPr>
          <w:rFonts w:eastAsia="仿宋_GB2312"/>
          <w:sz w:val="32"/>
          <w:szCs w:val="32"/>
        </w:rPr>
        <w:t>完善潮白河水环境监测网络。统一规划设置干流、支流（排干渠）监测断面，逐月监测潮白河水质、水量。建立常规监测、移动监测、动态预警监测“三位一体”的潮白河水环境质量监测网络。</w:t>
      </w:r>
    </w:p>
    <w:p>
      <w:pPr>
        <w:adjustRightInd w:val="0"/>
        <w:snapToGrid w:val="0"/>
        <w:spacing w:line="590" w:lineRule="exact"/>
        <w:ind w:firstLine="664"/>
        <w:rPr>
          <w:rFonts w:eastAsia="仿宋_GB2312"/>
          <w:spacing w:val="6"/>
          <w:sz w:val="32"/>
          <w:szCs w:val="32"/>
        </w:rPr>
      </w:pPr>
      <w:r>
        <w:rPr>
          <w:rFonts w:eastAsia="仿宋_GB2312"/>
          <w:spacing w:val="6"/>
          <w:sz w:val="32"/>
          <w:szCs w:val="32"/>
        </w:rPr>
        <w:t>加强水环境执法队伍建设，配足配强三河市、大厂县、香河县环境执法监管队伍。乡镇及工业集聚区强化综合行政执法，落实必要的环境监管力量。加强环境监测、环境监察、环境应急等专业技术培训，严格落实执法、监测等人员持证上岗制。</w:t>
      </w:r>
      <w:bookmarkStart w:id="287" w:name="_Toc453838551"/>
      <w:bookmarkEnd w:id="287"/>
    </w:p>
    <w:p>
      <w:pPr>
        <w:pStyle w:val="3"/>
        <w:spacing w:line="590" w:lineRule="exact"/>
        <w:ind w:left="643" w:firstLine="0" w:firstLineChars="0"/>
        <w:rPr>
          <w:rFonts w:eastAsia="楷体_GB2312"/>
        </w:rPr>
      </w:pPr>
      <w:bookmarkStart w:id="288" w:name="_Toc460596410"/>
      <w:bookmarkStart w:id="289" w:name="_Toc13843"/>
      <w:bookmarkStart w:id="290" w:name="_Toc366"/>
      <w:bookmarkStart w:id="291" w:name="_Toc8792"/>
      <w:bookmarkStart w:id="292" w:name="_Toc23833"/>
      <w:bookmarkStart w:id="293" w:name="_Toc23784145"/>
      <w:r>
        <w:rPr>
          <w:rFonts w:eastAsia="楷体_GB2312"/>
        </w:rPr>
        <w:t>9.3健全管理制度</w:t>
      </w:r>
      <w:bookmarkEnd w:id="288"/>
      <w:bookmarkEnd w:id="289"/>
      <w:bookmarkEnd w:id="290"/>
      <w:bookmarkEnd w:id="291"/>
      <w:bookmarkEnd w:id="292"/>
      <w:bookmarkEnd w:id="293"/>
    </w:p>
    <w:p>
      <w:pPr>
        <w:pStyle w:val="4"/>
        <w:spacing w:line="590" w:lineRule="exact"/>
        <w:ind w:firstLine="643"/>
      </w:pPr>
      <w:bookmarkStart w:id="294" w:name="_Toc22351"/>
      <w:bookmarkStart w:id="295" w:name="_Toc5978"/>
      <w:bookmarkStart w:id="296" w:name="_Toc5453"/>
      <w:bookmarkStart w:id="297" w:name="_Toc10057"/>
      <w:bookmarkStart w:id="298" w:name="_Toc460596411"/>
      <w:bookmarkStart w:id="299" w:name="_Toc23784146"/>
      <w:r>
        <w:t>9.3.1</w:t>
      </w:r>
      <w:bookmarkEnd w:id="294"/>
      <w:bookmarkEnd w:id="295"/>
      <w:bookmarkEnd w:id="296"/>
      <w:bookmarkEnd w:id="297"/>
      <w:bookmarkEnd w:id="298"/>
      <w:r>
        <w:t>完善河长制长效机制保障</w:t>
      </w:r>
      <w:bookmarkEnd w:id="299"/>
    </w:p>
    <w:p>
      <w:pPr>
        <w:adjustRightInd w:val="0"/>
        <w:snapToGrid w:val="0"/>
        <w:spacing w:line="590" w:lineRule="exact"/>
        <w:ind w:firstLine="640"/>
        <w:rPr>
          <w:rFonts w:eastAsia="仿宋_GB2312"/>
          <w:sz w:val="32"/>
          <w:szCs w:val="32"/>
        </w:rPr>
      </w:pPr>
      <w:r>
        <w:rPr>
          <w:rFonts w:eastAsia="仿宋_GB2312"/>
          <w:sz w:val="32"/>
          <w:szCs w:val="32"/>
        </w:rPr>
        <w:t>健全河长制工作的巡查和例会、信息报告、应急处置、组织协调、指导服务、督查督办、考核激励、宣传教育、全民参与等工作机制。以市场化、专业化、社会化为方向，加快建立治污设施运行维护、河道保洁清淤、农村保洁管理等方面的长效机制。</w:t>
      </w:r>
    </w:p>
    <w:p>
      <w:pPr>
        <w:pStyle w:val="4"/>
        <w:spacing w:line="590" w:lineRule="exact"/>
        <w:ind w:firstLine="643"/>
      </w:pPr>
      <w:bookmarkStart w:id="300" w:name="_Toc6771"/>
      <w:bookmarkStart w:id="301" w:name="_Toc17581"/>
      <w:bookmarkStart w:id="302" w:name="_Toc22149"/>
      <w:bookmarkStart w:id="303" w:name="_Toc7629"/>
      <w:bookmarkStart w:id="304" w:name="_Toc23784147"/>
      <w:bookmarkStart w:id="305" w:name="_Toc460596412"/>
      <w:r>
        <w:t>9.3.2完善水环境应急机制</w:t>
      </w:r>
      <w:bookmarkEnd w:id="300"/>
      <w:bookmarkEnd w:id="301"/>
      <w:bookmarkEnd w:id="302"/>
      <w:bookmarkEnd w:id="303"/>
      <w:bookmarkEnd w:id="304"/>
      <w:bookmarkEnd w:id="305"/>
    </w:p>
    <w:p>
      <w:pPr>
        <w:adjustRightInd w:val="0"/>
        <w:snapToGrid w:val="0"/>
        <w:spacing w:line="590" w:lineRule="exact"/>
        <w:ind w:firstLine="640"/>
        <w:rPr>
          <w:rFonts w:eastAsia="仿宋_GB2312"/>
          <w:sz w:val="32"/>
          <w:szCs w:val="32"/>
        </w:rPr>
      </w:pPr>
      <w:r>
        <w:rPr>
          <w:rFonts w:eastAsia="仿宋_GB2312"/>
          <w:sz w:val="32"/>
          <w:szCs w:val="32"/>
        </w:rPr>
        <w:t>三河市、大厂县、香河县政府要制定和完善水污染事故处置应急预案，落实责任主体，明确预警预报与响应程序、应急处置及保障措施等内容，依法及时公布预警信息；制定水环境污染应急能力建设规划，全面提升应急处置能力。</w:t>
      </w:r>
    </w:p>
    <w:p>
      <w:pPr>
        <w:pStyle w:val="3"/>
        <w:spacing w:line="590" w:lineRule="exact"/>
        <w:ind w:left="643" w:firstLine="0" w:firstLineChars="0"/>
        <w:rPr>
          <w:rFonts w:eastAsia="楷体_GB2312"/>
        </w:rPr>
      </w:pPr>
      <w:bookmarkStart w:id="306" w:name="_Toc460596413"/>
      <w:bookmarkStart w:id="307" w:name="_Toc20203"/>
      <w:bookmarkStart w:id="308" w:name="_Toc24350"/>
      <w:bookmarkStart w:id="309" w:name="_Toc32074"/>
      <w:bookmarkStart w:id="310" w:name="_Toc25529"/>
      <w:bookmarkStart w:id="311" w:name="_Toc23784148"/>
      <w:r>
        <w:rPr>
          <w:rFonts w:eastAsia="楷体_GB2312"/>
        </w:rPr>
        <w:t>9.4多方筹措资金</w:t>
      </w:r>
      <w:bookmarkEnd w:id="306"/>
      <w:bookmarkEnd w:id="307"/>
      <w:bookmarkEnd w:id="308"/>
      <w:bookmarkEnd w:id="309"/>
      <w:bookmarkEnd w:id="310"/>
      <w:bookmarkEnd w:id="311"/>
    </w:p>
    <w:p>
      <w:pPr>
        <w:pStyle w:val="4"/>
        <w:spacing w:line="590" w:lineRule="exact"/>
        <w:ind w:firstLine="643"/>
      </w:pPr>
      <w:bookmarkStart w:id="312" w:name="_Toc8331"/>
      <w:bookmarkStart w:id="313" w:name="_Toc6532"/>
      <w:bookmarkStart w:id="314" w:name="_Toc24484"/>
      <w:bookmarkStart w:id="315" w:name="_Toc23418"/>
      <w:bookmarkStart w:id="316" w:name="_Toc23784149"/>
      <w:bookmarkStart w:id="317" w:name="_Toc460596414"/>
      <w:r>
        <w:t>9.4.1引导社会资本投入</w:t>
      </w:r>
      <w:bookmarkEnd w:id="312"/>
      <w:bookmarkEnd w:id="313"/>
      <w:bookmarkEnd w:id="314"/>
      <w:bookmarkEnd w:id="315"/>
      <w:bookmarkEnd w:id="316"/>
      <w:bookmarkEnd w:id="317"/>
    </w:p>
    <w:p>
      <w:pPr>
        <w:adjustRightInd w:val="0"/>
        <w:snapToGrid w:val="0"/>
        <w:spacing w:line="590" w:lineRule="exact"/>
        <w:ind w:firstLine="656"/>
        <w:rPr>
          <w:rFonts w:eastAsia="仿宋_GB2312"/>
          <w:spacing w:val="4"/>
          <w:sz w:val="32"/>
          <w:szCs w:val="32"/>
        </w:rPr>
      </w:pPr>
      <w:r>
        <w:rPr>
          <w:rFonts w:eastAsia="仿宋_GB2312"/>
          <w:spacing w:val="4"/>
          <w:sz w:val="32"/>
          <w:szCs w:val="32"/>
        </w:rPr>
        <w:t>引导社会资本投入。推广股权、项目收益权、特许经营权、排污权等质押融资担保。采取环境绩效合同服务、授予开发经营权益等方式，鼓励社会资本加大水环境保护投入，积极推广PPP模式，推行环境污染第三方治理。支持生态环保建设项目开展股权和债权融资，探索发行用于生态环保建设的绿色债券等融资。</w:t>
      </w:r>
    </w:p>
    <w:p>
      <w:pPr>
        <w:adjustRightInd w:val="0"/>
        <w:snapToGrid w:val="0"/>
        <w:spacing w:line="590" w:lineRule="exact"/>
        <w:ind w:firstLine="640"/>
        <w:rPr>
          <w:rFonts w:eastAsia="仿宋_GB2312"/>
          <w:sz w:val="32"/>
          <w:szCs w:val="32"/>
        </w:rPr>
      </w:pPr>
      <w:r>
        <w:rPr>
          <w:rFonts w:eastAsia="仿宋_GB2312"/>
          <w:kern w:val="0"/>
          <w:sz w:val="32"/>
          <w:szCs w:val="32"/>
        </w:rPr>
        <w:t>加快发展环保服务业。明确监管部门、排污企业和环保服务公司的责任和义务，完善风险分担、履约保障等机制。鼓励发展包括系统设计、设备成套、工程施工、调试运行、维护管理的环保服务总承包模式等。以污水、垃圾处理为重点，积极推行环境污染第三方治理。</w:t>
      </w:r>
    </w:p>
    <w:p>
      <w:pPr>
        <w:pStyle w:val="4"/>
        <w:spacing w:line="590" w:lineRule="exact"/>
        <w:ind w:firstLine="643"/>
      </w:pPr>
      <w:bookmarkStart w:id="318" w:name="_Toc25729"/>
      <w:bookmarkStart w:id="319" w:name="_Toc14933"/>
      <w:bookmarkStart w:id="320" w:name="_Toc13000"/>
      <w:bookmarkStart w:id="321" w:name="_Toc1493"/>
      <w:bookmarkStart w:id="322" w:name="_Toc23784150"/>
      <w:bookmarkStart w:id="323" w:name="_Toc460596415"/>
      <w:r>
        <w:t>9.4.2加大财政支持力度</w:t>
      </w:r>
      <w:bookmarkEnd w:id="318"/>
      <w:bookmarkEnd w:id="319"/>
      <w:bookmarkEnd w:id="320"/>
      <w:bookmarkEnd w:id="321"/>
      <w:bookmarkEnd w:id="322"/>
      <w:bookmarkEnd w:id="323"/>
    </w:p>
    <w:p>
      <w:pPr>
        <w:adjustRightInd w:val="0"/>
        <w:snapToGrid w:val="0"/>
        <w:spacing w:line="590" w:lineRule="exact"/>
        <w:ind w:firstLine="640"/>
        <w:rPr>
          <w:rFonts w:eastAsia="仿宋_GB2312"/>
          <w:sz w:val="32"/>
          <w:szCs w:val="32"/>
        </w:rPr>
      </w:pPr>
      <w:r>
        <w:rPr>
          <w:rFonts w:eastAsia="仿宋_GB2312"/>
          <w:color w:val="000000"/>
          <w:sz w:val="32"/>
          <w:szCs w:val="32"/>
        </w:rPr>
        <w:t>积极争取国家中央预算、国债等各类水环境保护专项建设补助资金，将水环境保护资金列入各级政府年度财政预算，</w:t>
      </w:r>
      <w:r>
        <w:rPr>
          <w:rFonts w:eastAsia="仿宋_GB2312"/>
          <w:sz w:val="32"/>
          <w:szCs w:val="32"/>
        </w:rPr>
        <w:t>用于水环境综合整治工程建设、运行管理及日常维护。</w:t>
      </w:r>
      <w:r>
        <w:rPr>
          <w:rFonts w:eastAsia="仿宋_GB2312"/>
          <w:color w:val="000000"/>
          <w:sz w:val="32"/>
          <w:szCs w:val="32"/>
        </w:rPr>
        <w:t>对环境监管能力建设及运行费用分级予以必要保障。</w:t>
      </w:r>
      <w:r>
        <w:rPr>
          <w:rFonts w:eastAsia="仿宋_GB2312"/>
          <w:sz w:val="32"/>
          <w:szCs w:val="32"/>
        </w:rPr>
        <w:t>发展改革、生态环境、水利、住建、农业、畜牧、林业等部门要尽快建立相关项目库，积极争取国家、省、市资金投入。</w:t>
      </w:r>
    </w:p>
    <w:p>
      <w:pPr>
        <w:adjustRightInd w:val="0"/>
        <w:snapToGrid w:val="0"/>
        <w:spacing w:line="590" w:lineRule="exact"/>
        <w:ind w:firstLine="480"/>
        <w:rPr>
          <w:rFonts w:eastAsia="仿宋_GB2312"/>
          <w:color w:val="000000"/>
          <w:szCs w:val="32"/>
        </w:rPr>
        <w:sectPr>
          <w:footerReference r:id="rId15" w:type="default"/>
          <w:footerReference r:id="rId16" w:type="even"/>
          <w:pgSz w:w="11906" w:h="16838"/>
          <w:pgMar w:top="2098" w:right="1531" w:bottom="1474" w:left="1531" w:header="851" w:footer="851" w:gutter="0"/>
          <w:pgNumType w:start="122"/>
          <w:cols w:space="720" w:num="1"/>
          <w:docGrid w:type="linesAndChars" w:linePitch="381" w:charSpace="0"/>
        </w:sectPr>
      </w:pPr>
    </w:p>
    <w:p>
      <w:pPr>
        <w:pStyle w:val="2"/>
        <w:spacing w:after="240" w:afterLines="100" w:line="500" w:lineRule="exact"/>
        <w:ind w:firstLine="0" w:firstLineChars="0"/>
        <w:jc w:val="center"/>
        <w:rPr>
          <w:rFonts w:ascii="黑体" w:hAnsi="黑体"/>
          <w:szCs w:val="32"/>
        </w:rPr>
      </w:pPr>
      <w:bookmarkStart w:id="324" w:name="_Toc19567"/>
      <w:bookmarkStart w:id="325" w:name="_Toc460596418"/>
      <w:bookmarkStart w:id="326" w:name="_Toc14026"/>
      <w:bookmarkStart w:id="327" w:name="_Toc23453"/>
      <w:bookmarkStart w:id="328" w:name="_Toc6639"/>
      <w:bookmarkStart w:id="329" w:name="_Toc23784151"/>
      <w:r>
        <w:rPr>
          <w:rFonts w:ascii="黑体" w:hAnsi="黑体"/>
          <w:szCs w:val="32"/>
        </w:rPr>
        <w:t>表1重点工程</w:t>
      </w:r>
      <w:bookmarkEnd w:id="324"/>
      <w:bookmarkEnd w:id="325"/>
      <w:bookmarkEnd w:id="326"/>
      <w:bookmarkEnd w:id="327"/>
      <w:bookmarkEnd w:id="328"/>
      <w:r>
        <w:rPr>
          <w:rFonts w:ascii="黑体" w:hAnsi="黑体"/>
          <w:szCs w:val="32"/>
        </w:rPr>
        <w:t>项目及投资汇总</w:t>
      </w:r>
      <w:bookmarkEnd w:id="329"/>
    </w:p>
    <w:tbl>
      <w:tblPr>
        <w:tblStyle w:val="9"/>
        <w:tblW w:w="1320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499"/>
        <w:gridCol w:w="952"/>
        <w:gridCol w:w="1848"/>
        <w:gridCol w:w="1974"/>
        <w:gridCol w:w="1273"/>
        <w:gridCol w:w="1230"/>
        <w:gridCol w:w="1120"/>
        <w:gridCol w:w="3358"/>
        <w:gridCol w:w="9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300" w:hRule="atLeast"/>
          <w:tblHeader/>
          <w:jc w:val="center"/>
        </w:trPr>
        <w:tc>
          <w:tcPr>
            <w:tcW w:w="499" w:type="dxa"/>
            <w:vMerge w:val="restart"/>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序号</w:t>
            </w:r>
          </w:p>
        </w:tc>
        <w:tc>
          <w:tcPr>
            <w:tcW w:w="952" w:type="dxa"/>
            <w:vMerge w:val="restart"/>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隶属关系</w:t>
            </w:r>
          </w:p>
        </w:tc>
        <w:tc>
          <w:tcPr>
            <w:tcW w:w="1848" w:type="dxa"/>
            <w:vMerge w:val="restart"/>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项目类型</w:t>
            </w:r>
          </w:p>
        </w:tc>
        <w:tc>
          <w:tcPr>
            <w:tcW w:w="1974" w:type="dxa"/>
            <w:vMerge w:val="restart"/>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项目名称</w:t>
            </w:r>
          </w:p>
        </w:tc>
        <w:tc>
          <w:tcPr>
            <w:tcW w:w="1273" w:type="dxa"/>
            <w:vMerge w:val="restart"/>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建设地点</w:t>
            </w:r>
          </w:p>
        </w:tc>
        <w:tc>
          <w:tcPr>
            <w:tcW w:w="1230" w:type="dxa"/>
            <w:vMerge w:val="restart"/>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建设周期</w:t>
            </w:r>
          </w:p>
        </w:tc>
        <w:tc>
          <w:tcPr>
            <w:tcW w:w="1120" w:type="dxa"/>
            <w:vMerge w:val="restart"/>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承担单位</w:t>
            </w:r>
          </w:p>
        </w:tc>
        <w:tc>
          <w:tcPr>
            <w:tcW w:w="3358" w:type="dxa"/>
            <w:vMerge w:val="restart"/>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项目建设规模与内容</w:t>
            </w:r>
          </w:p>
        </w:tc>
        <w:tc>
          <w:tcPr>
            <w:tcW w:w="947" w:type="dxa"/>
            <w:vMerge w:val="restart"/>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项目总投资（万元）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24" w:hRule="atLeast"/>
          <w:tblHeader/>
          <w:jc w:val="center"/>
        </w:trPr>
        <w:tc>
          <w:tcPr>
            <w:tcW w:w="499" w:type="dxa"/>
            <w:vMerge w:val="continue"/>
            <w:vAlign w:val="center"/>
          </w:tcPr>
          <w:p>
            <w:pPr>
              <w:adjustRightInd w:val="0"/>
              <w:snapToGrid w:val="0"/>
              <w:spacing w:line="300" w:lineRule="exact"/>
              <w:ind w:firstLine="0" w:firstLineChars="0"/>
              <w:jc w:val="center"/>
              <w:rPr>
                <w:rFonts w:eastAsia="仿宋_GB2312"/>
                <w:b/>
                <w:bCs/>
                <w:color w:val="000000"/>
                <w:kern w:val="0"/>
                <w:sz w:val="21"/>
                <w:szCs w:val="21"/>
              </w:rPr>
            </w:pPr>
          </w:p>
        </w:tc>
        <w:tc>
          <w:tcPr>
            <w:tcW w:w="952" w:type="dxa"/>
            <w:vMerge w:val="continue"/>
            <w:vAlign w:val="center"/>
          </w:tcPr>
          <w:p>
            <w:pPr>
              <w:adjustRightInd w:val="0"/>
              <w:snapToGrid w:val="0"/>
              <w:spacing w:line="300" w:lineRule="exact"/>
              <w:ind w:firstLine="0" w:firstLineChars="0"/>
              <w:jc w:val="center"/>
              <w:rPr>
                <w:rFonts w:eastAsia="仿宋_GB2312"/>
                <w:b/>
                <w:bCs/>
                <w:color w:val="000000"/>
                <w:kern w:val="0"/>
                <w:sz w:val="21"/>
                <w:szCs w:val="21"/>
              </w:rPr>
            </w:pPr>
          </w:p>
        </w:tc>
        <w:tc>
          <w:tcPr>
            <w:tcW w:w="1848" w:type="dxa"/>
            <w:vMerge w:val="continue"/>
            <w:vAlign w:val="center"/>
          </w:tcPr>
          <w:p>
            <w:pPr>
              <w:adjustRightInd w:val="0"/>
              <w:snapToGrid w:val="0"/>
              <w:spacing w:line="300" w:lineRule="exact"/>
              <w:ind w:firstLine="0" w:firstLineChars="0"/>
              <w:jc w:val="center"/>
              <w:rPr>
                <w:rFonts w:eastAsia="仿宋_GB2312"/>
                <w:b/>
                <w:bCs/>
                <w:color w:val="000000"/>
                <w:kern w:val="0"/>
                <w:sz w:val="21"/>
                <w:szCs w:val="21"/>
              </w:rPr>
            </w:pPr>
          </w:p>
        </w:tc>
        <w:tc>
          <w:tcPr>
            <w:tcW w:w="1974" w:type="dxa"/>
            <w:vMerge w:val="continue"/>
            <w:vAlign w:val="center"/>
          </w:tcPr>
          <w:p>
            <w:pPr>
              <w:adjustRightInd w:val="0"/>
              <w:snapToGrid w:val="0"/>
              <w:spacing w:line="300" w:lineRule="exact"/>
              <w:ind w:firstLine="0" w:firstLineChars="0"/>
              <w:jc w:val="center"/>
              <w:rPr>
                <w:rFonts w:eastAsia="仿宋_GB2312"/>
                <w:b/>
                <w:bCs/>
                <w:color w:val="000000"/>
                <w:kern w:val="0"/>
                <w:sz w:val="21"/>
                <w:szCs w:val="21"/>
              </w:rPr>
            </w:pPr>
          </w:p>
        </w:tc>
        <w:tc>
          <w:tcPr>
            <w:tcW w:w="1273" w:type="dxa"/>
            <w:vMerge w:val="continue"/>
            <w:vAlign w:val="center"/>
          </w:tcPr>
          <w:p>
            <w:pPr>
              <w:adjustRightInd w:val="0"/>
              <w:snapToGrid w:val="0"/>
              <w:spacing w:line="300" w:lineRule="exact"/>
              <w:ind w:firstLine="0" w:firstLineChars="0"/>
              <w:jc w:val="center"/>
              <w:rPr>
                <w:rFonts w:eastAsia="仿宋_GB2312"/>
                <w:b/>
                <w:bCs/>
                <w:color w:val="000000"/>
                <w:kern w:val="0"/>
                <w:sz w:val="21"/>
                <w:szCs w:val="21"/>
              </w:rPr>
            </w:pPr>
          </w:p>
        </w:tc>
        <w:tc>
          <w:tcPr>
            <w:tcW w:w="1230" w:type="dxa"/>
            <w:vMerge w:val="continue"/>
            <w:vAlign w:val="center"/>
          </w:tcPr>
          <w:p>
            <w:pPr>
              <w:adjustRightInd w:val="0"/>
              <w:snapToGrid w:val="0"/>
              <w:spacing w:line="300" w:lineRule="exact"/>
              <w:ind w:firstLine="0" w:firstLineChars="0"/>
              <w:jc w:val="center"/>
              <w:rPr>
                <w:rFonts w:eastAsia="仿宋_GB2312"/>
                <w:b/>
                <w:bCs/>
                <w:color w:val="000000"/>
                <w:kern w:val="0"/>
                <w:sz w:val="21"/>
                <w:szCs w:val="21"/>
              </w:rPr>
            </w:pPr>
          </w:p>
        </w:tc>
        <w:tc>
          <w:tcPr>
            <w:tcW w:w="1120" w:type="dxa"/>
            <w:vMerge w:val="continue"/>
            <w:vAlign w:val="center"/>
          </w:tcPr>
          <w:p>
            <w:pPr>
              <w:adjustRightInd w:val="0"/>
              <w:snapToGrid w:val="0"/>
              <w:spacing w:line="300" w:lineRule="exact"/>
              <w:ind w:firstLine="0" w:firstLineChars="0"/>
              <w:jc w:val="center"/>
              <w:rPr>
                <w:rFonts w:eastAsia="仿宋_GB2312"/>
                <w:b/>
                <w:bCs/>
                <w:color w:val="000000"/>
                <w:kern w:val="0"/>
                <w:sz w:val="21"/>
                <w:szCs w:val="21"/>
              </w:rPr>
            </w:pPr>
          </w:p>
        </w:tc>
        <w:tc>
          <w:tcPr>
            <w:tcW w:w="3358" w:type="dxa"/>
            <w:vMerge w:val="continue"/>
            <w:vAlign w:val="center"/>
          </w:tcPr>
          <w:p>
            <w:pPr>
              <w:adjustRightInd w:val="0"/>
              <w:snapToGrid w:val="0"/>
              <w:spacing w:line="300" w:lineRule="exact"/>
              <w:ind w:firstLine="0" w:firstLineChars="0"/>
              <w:jc w:val="center"/>
              <w:rPr>
                <w:rFonts w:eastAsia="仿宋_GB2312"/>
                <w:b/>
                <w:bCs/>
                <w:color w:val="000000"/>
                <w:kern w:val="0"/>
                <w:sz w:val="21"/>
                <w:szCs w:val="21"/>
              </w:rPr>
            </w:pPr>
          </w:p>
        </w:tc>
        <w:tc>
          <w:tcPr>
            <w:tcW w:w="947" w:type="dxa"/>
            <w:vMerge w:val="continue"/>
            <w:vAlign w:val="center"/>
          </w:tcPr>
          <w:p>
            <w:pPr>
              <w:adjustRightInd w:val="0"/>
              <w:snapToGrid w:val="0"/>
              <w:spacing w:line="300" w:lineRule="exact"/>
              <w:ind w:firstLine="0" w:firstLineChars="0"/>
              <w:jc w:val="center"/>
              <w:rPr>
                <w:rFonts w:eastAsia="仿宋_GB2312"/>
                <w:b/>
                <w:bCs/>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07" w:hRule="atLeast"/>
          <w:jc w:val="center"/>
        </w:trPr>
        <w:tc>
          <w:tcPr>
            <w:tcW w:w="12254" w:type="dxa"/>
            <w:gridSpan w:val="8"/>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总计</w:t>
            </w:r>
          </w:p>
        </w:tc>
        <w:tc>
          <w:tcPr>
            <w:tcW w:w="947" w:type="dxa"/>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35057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604" w:hRule="atLeast"/>
          <w:jc w:val="center"/>
        </w:trPr>
        <w:tc>
          <w:tcPr>
            <w:tcW w:w="12254" w:type="dxa"/>
            <w:gridSpan w:val="8"/>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1-流域污染源治理类型项目小计</w:t>
            </w:r>
          </w:p>
        </w:tc>
        <w:tc>
          <w:tcPr>
            <w:tcW w:w="947" w:type="dxa"/>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20900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940"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大厂回族自治县</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城镇污水处理厂及配套管网建设</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河北大厂潮白河经济开发区污水处理厂</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潮白新区</w:t>
            </w:r>
          </w:p>
        </w:tc>
        <w:tc>
          <w:tcPr>
            <w:tcW w:w="1230" w:type="dxa"/>
            <w:vAlign w:val="center"/>
          </w:tcPr>
          <w:p>
            <w:pPr>
              <w:adjustRightInd w:val="0"/>
              <w:snapToGrid w:val="0"/>
              <w:spacing w:line="300" w:lineRule="exact"/>
              <w:ind w:firstLine="0" w:firstLineChars="0"/>
              <w:jc w:val="center"/>
              <w:rPr>
                <w:rFonts w:hint="eastAsia"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大厂回族自治县政府</w:t>
            </w:r>
          </w:p>
        </w:tc>
        <w:tc>
          <w:tcPr>
            <w:tcW w:w="3358" w:type="dxa"/>
            <w:vAlign w:val="center"/>
          </w:tcPr>
          <w:p>
            <w:pPr>
              <w:adjustRightInd w:val="0"/>
              <w:snapToGrid w:val="0"/>
              <w:spacing w:line="290" w:lineRule="exact"/>
              <w:ind w:firstLine="0" w:firstLineChars="0"/>
              <w:rPr>
                <w:rFonts w:hint="eastAsia" w:eastAsia="仿宋_GB2312"/>
                <w:color w:val="000000"/>
                <w:kern w:val="0"/>
                <w:sz w:val="21"/>
                <w:szCs w:val="21"/>
              </w:rPr>
            </w:pPr>
            <w:r>
              <w:rPr>
                <w:rFonts w:eastAsia="仿宋_GB2312"/>
                <w:color w:val="000000"/>
                <w:kern w:val="0"/>
                <w:sz w:val="21"/>
                <w:szCs w:val="21"/>
              </w:rPr>
              <w:t>一期2万吨污水处理厂建设，出水达到京B标准</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8000.0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261"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大厂回族自治县</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分散污水处理设施建设</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祁各庄镇半边店村、宋各庄村污水处理设施建设</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半边店村、宋各庄村</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大厂回族自治县政府</w:t>
            </w:r>
          </w:p>
        </w:tc>
        <w:tc>
          <w:tcPr>
            <w:tcW w:w="3358" w:type="dxa"/>
            <w:vAlign w:val="center"/>
          </w:tcPr>
          <w:p>
            <w:pPr>
              <w:adjustRightInd w:val="0"/>
              <w:snapToGrid w:val="0"/>
              <w:spacing w:line="290" w:lineRule="exact"/>
              <w:ind w:firstLine="0" w:firstLineChars="0"/>
              <w:rPr>
                <w:rFonts w:hint="eastAsia" w:eastAsia="仿宋_GB2312"/>
                <w:color w:val="000000"/>
                <w:kern w:val="0"/>
                <w:sz w:val="21"/>
                <w:szCs w:val="21"/>
              </w:rPr>
            </w:pPr>
            <w:r>
              <w:rPr>
                <w:rFonts w:eastAsia="仿宋_GB2312"/>
                <w:color w:val="000000"/>
                <w:kern w:val="0"/>
                <w:sz w:val="21"/>
                <w:szCs w:val="21"/>
              </w:rPr>
              <w:t>建设半边店村集中式污水处理站，宋各庄村庭院式一体化治污设备或地埋式污水处理设施</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484"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3</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城镇污水管网完善</w:t>
            </w:r>
          </w:p>
        </w:tc>
        <w:tc>
          <w:tcPr>
            <w:tcW w:w="197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102国道北侧排水管道改造工程</w:t>
            </w:r>
          </w:p>
        </w:tc>
        <w:tc>
          <w:tcPr>
            <w:tcW w:w="127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102国道北侧</w:t>
            </w:r>
          </w:p>
        </w:tc>
        <w:tc>
          <w:tcPr>
            <w:tcW w:w="123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sz w:val="21"/>
                <w:szCs w:val="21"/>
              </w:rPr>
              <w:t>2019-2020</w:t>
            </w:r>
            <w:r>
              <w:rPr>
                <w:rFonts w:hint="eastAsia" w:eastAsia="仿宋_GB2312"/>
                <w:color w:val="000000"/>
                <w:kern w:val="0"/>
                <w:sz w:val="21"/>
                <w:szCs w:val="21"/>
              </w:rPr>
              <w:t>年</w:t>
            </w:r>
          </w:p>
        </w:tc>
        <w:tc>
          <w:tcPr>
            <w:tcW w:w="11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358" w:type="dxa"/>
            <w:tcBorders>
              <w:top w:val="nil"/>
              <w:left w:val="nil"/>
              <w:bottom w:val="single" w:color="auto" w:sz="4" w:space="0"/>
              <w:right w:val="single" w:color="auto" w:sz="4" w:space="0"/>
            </w:tcBorders>
            <w:vAlign w:val="center"/>
          </w:tcPr>
          <w:p>
            <w:pPr>
              <w:adjustRightInd w:val="0"/>
              <w:snapToGrid w:val="0"/>
              <w:spacing w:line="290" w:lineRule="exact"/>
              <w:ind w:firstLine="0" w:firstLineChars="0"/>
              <w:rPr>
                <w:rFonts w:eastAsia="仿宋_GB2312"/>
                <w:color w:val="000000"/>
                <w:kern w:val="0"/>
                <w:sz w:val="21"/>
                <w:szCs w:val="21"/>
              </w:rPr>
            </w:pPr>
            <w:r>
              <w:rPr>
                <w:rFonts w:eastAsia="仿宋_GB2312"/>
                <w:color w:val="000000"/>
                <w:kern w:val="0"/>
                <w:sz w:val="21"/>
                <w:szCs w:val="21"/>
              </w:rPr>
              <w:t>对102国道北侧（福成路至天子庄园）原排水方涵进行改造，原位新建2XDN2000-DN2400管道，雨水总长度约2200米，污水总长度约2200米。</w:t>
            </w:r>
          </w:p>
        </w:tc>
        <w:tc>
          <w:tcPr>
            <w:tcW w:w="947"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4500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513"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4</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城镇污水管网完善</w:t>
            </w:r>
          </w:p>
        </w:tc>
        <w:tc>
          <w:tcPr>
            <w:tcW w:w="197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102国道南侧排水管道改造工程</w:t>
            </w:r>
          </w:p>
        </w:tc>
        <w:tc>
          <w:tcPr>
            <w:tcW w:w="127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102国道南侧</w:t>
            </w:r>
          </w:p>
        </w:tc>
        <w:tc>
          <w:tcPr>
            <w:tcW w:w="123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sz w:val="21"/>
                <w:szCs w:val="21"/>
              </w:rPr>
              <w:t>2019-2020</w:t>
            </w:r>
            <w:r>
              <w:rPr>
                <w:rFonts w:hint="eastAsia" w:eastAsia="仿宋_GB2312"/>
                <w:color w:val="000000"/>
                <w:kern w:val="0"/>
                <w:sz w:val="21"/>
                <w:szCs w:val="21"/>
              </w:rPr>
              <w:t>年</w:t>
            </w:r>
          </w:p>
        </w:tc>
        <w:tc>
          <w:tcPr>
            <w:tcW w:w="11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358" w:type="dxa"/>
            <w:tcBorders>
              <w:top w:val="nil"/>
              <w:left w:val="nil"/>
              <w:bottom w:val="single" w:color="auto" w:sz="4" w:space="0"/>
              <w:right w:val="single" w:color="auto" w:sz="4" w:space="0"/>
            </w:tcBorders>
            <w:vAlign w:val="center"/>
          </w:tcPr>
          <w:p>
            <w:pPr>
              <w:adjustRightInd w:val="0"/>
              <w:snapToGrid w:val="0"/>
              <w:spacing w:line="290" w:lineRule="exact"/>
              <w:ind w:firstLine="0" w:firstLineChars="0"/>
              <w:rPr>
                <w:rFonts w:eastAsia="仿宋_GB2312"/>
                <w:color w:val="000000"/>
                <w:kern w:val="0"/>
                <w:sz w:val="21"/>
                <w:szCs w:val="21"/>
              </w:rPr>
            </w:pPr>
            <w:r>
              <w:rPr>
                <w:rFonts w:eastAsia="仿宋_GB2312"/>
                <w:color w:val="000000"/>
                <w:kern w:val="0"/>
                <w:sz w:val="21"/>
                <w:szCs w:val="21"/>
              </w:rPr>
              <w:t>对102国道南侧（冶金路至尹家沟），原位新建DN1500-DN2000污水管道，长度约1200米；新建DN2000雨水管道，长度约2900米。</w:t>
            </w:r>
          </w:p>
        </w:tc>
        <w:tc>
          <w:tcPr>
            <w:tcW w:w="947"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3500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36"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5</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城镇污水管网完善</w:t>
            </w:r>
          </w:p>
        </w:tc>
        <w:tc>
          <w:tcPr>
            <w:tcW w:w="1974"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燕郊南污水处理厂集水管道改造工程</w:t>
            </w:r>
          </w:p>
        </w:tc>
        <w:tc>
          <w:tcPr>
            <w:tcW w:w="1273"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燕郊高新区</w:t>
            </w:r>
          </w:p>
        </w:tc>
        <w:tc>
          <w:tcPr>
            <w:tcW w:w="123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sz w:val="21"/>
                <w:szCs w:val="21"/>
              </w:rPr>
              <w:t>2019-2020</w:t>
            </w:r>
            <w:r>
              <w:rPr>
                <w:rFonts w:hint="eastAsia" w:eastAsia="仿宋_GB2312"/>
                <w:color w:val="000000"/>
                <w:kern w:val="0"/>
                <w:sz w:val="21"/>
                <w:szCs w:val="21"/>
              </w:rPr>
              <w:t>年</w:t>
            </w:r>
          </w:p>
        </w:tc>
        <w:tc>
          <w:tcPr>
            <w:tcW w:w="1120"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358" w:type="dxa"/>
            <w:tcBorders>
              <w:top w:val="nil"/>
              <w:left w:val="nil"/>
              <w:bottom w:val="single" w:color="auto" w:sz="4" w:space="0"/>
              <w:right w:val="single" w:color="auto" w:sz="4" w:space="0"/>
            </w:tcBorders>
            <w:vAlign w:val="center"/>
          </w:tcPr>
          <w:p>
            <w:pPr>
              <w:adjustRightInd w:val="0"/>
              <w:snapToGrid w:val="0"/>
              <w:spacing w:line="290" w:lineRule="exact"/>
              <w:ind w:firstLine="0" w:firstLineChars="0"/>
              <w:rPr>
                <w:rFonts w:eastAsia="仿宋_GB2312"/>
                <w:color w:val="000000"/>
                <w:kern w:val="0"/>
                <w:sz w:val="21"/>
                <w:szCs w:val="21"/>
              </w:rPr>
            </w:pPr>
            <w:r>
              <w:rPr>
                <w:rFonts w:eastAsia="仿宋_GB2312"/>
                <w:color w:val="000000"/>
                <w:kern w:val="0"/>
                <w:sz w:val="21"/>
                <w:szCs w:val="21"/>
              </w:rPr>
              <w:t>沿思菩兰路至左堤路机动车道下及堤角东侧绿化带下新建一根DN1500的污水总管，全长约2.7</w:t>
            </w:r>
            <w:r>
              <w:rPr>
                <w:rFonts w:hint="eastAsia" w:eastAsia="仿宋_GB2312"/>
                <w:color w:val="000000"/>
                <w:kern w:val="0"/>
                <w:sz w:val="21"/>
                <w:szCs w:val="21"/>
              </w:rPr>
              <w:t>千米</w:t>
            </w:r>
            <w:r>
              <w:rPr>
                <w:rFonts w:eastAsia="仿宋_GB2312"/>
                <w:color w:val="000000"/>
                <w:kern w:val="0"/>
                <w:sz w:val="21"/>
                <w:szCs w:val="21"/>
              </w:rPr>
              <w:t>。</w:t>
            </w:r>
          </w:p>
        </w:tc>
        <w:tc>
          <w:tcPr>
            <w:tcW w:w="947" w:type="dxa"/>
            <w:tcBorders>
              <w:top w:val="nil"/>
              <w:left w:val="nil"/>
              <w:bottom w:val="single" w:color="auto" w:sz="4" w:space="0"/>
              <w:right w:val="single" w:color="auto"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4500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48" w:hRule="atLeast"/>
          <w:jc w:val="center"/>
        </w:trPr>
        <w:tc>
          <w:tcPr>
            <w:tcW w:w="12254" w:type="dxa"/>
            <w:gridSpan w:val="8"/>
            <w:vAlign w:val="center"/>
          </w:tcPr>
          <w:p>
            <w:pPr>
              <w:adjustRightInd w:val="0"/>
              <w:snapToGrid w:val="0"/>
              <w:spacing w:line="29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2-流域河道综合治理与生态修复类型项目小计</w:t>
            </w:r>
          </w:p>
        </w:tc>
        <w:tc>
          <w:tcPr>
            <w:tcW w:w="947" w:type="dxa"/>
            <w:vAlign w:val="center"/>
          </w:tcPr>
          <w:p>
            <w:pPr>
              <w:adjustRightInd w:val="0"/>
              <w:snapToGrid w:val="0"/>
              <w:spacing w:line="3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14157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871"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河道综合整治工程</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荣各庄排干渠河道清淤工程</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渠口镇</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358" w:type="dxa"/>
            <w:vAlign w:val="center"/>
          </w:tcPr>
          <w:p>
            <w:pPr>
              <w:adjustRightInd w:val="0"/>
              <w:snapToGrid w:val="0"/>
              <w:spacing w:line="290" w:lineRule="exact"/>
              <w:ind w:firstLine="0" w:firstLineChars="0"/>
              <w:rPr>
                <w:rFonts w:hint="eastAsia" w:eastAsia="仿宋_GB2312"/>
                <w:color w:val="000000"/>
                <w:kern w:val="0"/>
                <w:sz w:val="21"/>
                <w:szCs w:val="21"/>
              </w:rPr>
            </w:pPr>
            <w:r>
              <w:rPr>
                <w:rFonts w:eastAsia="仿宋_GB2312"/>
                <w:color w:val="000000"/>
                <w:kern w:val="0"/>
                <w:sz w:val="21"/>
                <w:szCs w:val="21"/>
              </w:rPr>
              <w:t>针对荣各庄排干渠清淤2.45公里，清淤深度1m左右</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870"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河道综合整治工程</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商汪甸排干渠河道清淤工程</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安头屯镇、刘宋镇</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358" w:type="dxa"/>
            <w:vAlign w:val="center"/>
          </w:tcPr>
          <w:p>
            <w:pPr>
              <w:adjustRightInd w:val="0"/>
              <w:snapToGrid w:val="0"/>
              <w:spacing w:line="290" w:lineRule="exact"/>
              <w:ind w:firstLine="0" w:firstLineChars="0"/>
              <w:rPr>
                <w:rFonts w:hint="eastAsia" w:eastAsia="仿宋_GB2312"/>
                <w:color w:val="000000"/>
                <w:kern w:val="0"/>
                <w:sz w:val="21"/>
                <w:szCs w:val="21"/>
              </w:rPr>
            </w:pPr>
            <w:r>
              <w:rPr>
                <w:rFonts w:eastAsia="仿宋_GB2312"/>
                <w:color w:val="000000"/>
                <w:kern w:val="0"/>
                <w:sz w:val="21"/>
                <w:szCs w:val="21"/>
              </w:rPr>
              <w:t>针对商汪甸排干渠清淤2.65公里，清淤深度1m左右</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261"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3</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中水回用工程</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潮白河燕郊地区上游三河中水回用工程</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燕郊地区上游三河境内</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358" w:type="dxa"/>
            <w:vAlign w:val="center"/>
          </w:tcPr>
          <w:p>
            <w:pPr>
              <w:adjustRightInd w:val="0"/>
              <w:snapToGrid w:val="0"/>
              <w:spacing w:line="290" w:lineRule="exact"/>
              <w:ind w:firstLine="0" w:firstLineChars="0"/>
              <w:rPr>
                <w:rFonts w:hint="eastAsia" w:eastAsia="仿宋_GB2312"/>
                <w:color w:val="000000"/>
                <w:kern w:val="0"/>
                <w:sz w:val="21"/>
                <w:szCs w:val="21"/>
              </w:rPr>
            </w:pPr>
            <w:r>
              <w:rPr>
                <w:rFonts w:eastAsia="仿宋_GB2312"/>
                <w:color w:val="000000"/>
                <w:kern w:val="0"/>
                <w:sz w:val="21"/>
                <w:szCs w:val="21"/>
              </w:rPr>
              <w:t>建设潮白河燕郊地区上游，三河境内4万吨/日中水回用工程，中水回用补充潮白河生态用水</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21"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4</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河道管护工程</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潮白河三河段沿岸及河道垃圾打捞工程</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潮白河三河段</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358" w:type="dxa"/>
            <w:vAlign w:val="center"/>
          </w:tcPr>
          <w:p>
            <w:pPr>
              <w:adjustRightInd w:val="0"/>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通过第三方购买服务定期开展潮白河三河段河道垃圾、漂浮物、水草清理等</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219"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5</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大厂回族自治县</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河道管护工程</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潮白河大厂段沿岸及河道垃圾打捞工程</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潮白河大厂段</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大厂回族自治县政府</w:t>
            </w:r>
          </w:p>
        </w:tc>
        <w:tc>
          <w:tcPr>
            <w:tcW w:w="3358" w:type="dxa"/>
            <w:vAlign w:val="center"/>
          </w:tcPr>
          <w:p>
            <w:pPr>
              <w:adjustRightInd w:val="0"/>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通过第三方购买服务定期开展潮白河大厂段河道垃圾、漂浮物、水草清理等</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205"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6</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河道管护工程</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潮白河香河段沿岸及河道垃圾打捞工程</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潮白河香河段</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358" w:type="dxa"/>
            <w:vAlign w:val="center"/>
          </w:tcPr>
          <w:p>
            <w:pPr>
              <w:adjustRightInd w:val="0"/>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通过第三方购买服务定期开展潮白河香河段河道垃圾、漂浮物、水草清理等</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066"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7</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河道自然生态系统建设工程</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潮白河三河燕郊段自然生态系统建设工程</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潮白河三河燕郊段</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358" w:type="dxa"/>
            <w:vAlign w:val="center"/>
          </w:tcPr>
          <w:p>
            <w:pPr>
              <w:adjustRightInd w:val="0"/>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潮白河三河燕郊段种植水生植物、建设表流人工湿地等</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038"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8</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848"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河道自然生态系统建设工程</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潮白河香河段自然生态系统建设工程</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潮白河香河段</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358" w:type="dxa"/>
            <w:vAlign w:val="center"/>
          </w:tcPr>
          <w:p>
            <w:pPr>
              <w:adjustRightInd w:val="0"/>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潮白河香河段种植水生植物、建设表流人工湿地等</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317"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9</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184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河道藻类治理工程及综合管控工程</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潮白河三河燕郊段藻类治理及综合管控工程</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潮白河三河燕郊段</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三河市政府</w:t>
            </w:r>
          </w:p>
        </w:tc>
        <w:tc>
          <w:tcPr>
            <w:tcW w:w="3358" w:type="dxa"/>
            <w:vAlign w:val="center"/>
          </w:tcPr>
          <w:p>
            <w:pPr>
              <w:adjustRightInd w:val="0"/>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在三河燕郊段通过拦藻设施、加压除藻船或投加改性土壤、抑藻剂等措施开展藻类治理</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2253"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10</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84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河道藻类治理及综合管控工程</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潮白河香河吴村断面藻类治理及综合管控工程</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吴村断面上游</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358" w:type="dxa"/>
            <w:vAlign w:val="center"/>
          </w:tcPr>
          <w:p>
            <w:pPr>
              <w:adjustRightInd w:val="0"/>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在吴村断面上游通过拦藻设施、加压除藻船或投加改性土壤、抑藻剂等措施开展藻类治理；在吴村断面上游1.5公里开展生态维护、藻类监测、水量调度、垃圾清理等维护水质的精细化管理措施</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2309"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11</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84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河道藻类治理工程及综合管控工程</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潮白河香河大套桥断面藻类治理及综合管控工程</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大套桥断面上游</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358" w:type="dxa"/>
            <w:vAlign w:val="center"/>
          </w:tcPr>
          <w:p>
            <w:pPr>
              <w:adjustRightInd w:val="0"/>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在大套桥断面上游通过拦藻设施、加压除藻船或投加改性土壤、抑藻剂等措施开展藻类治理；在大套桥断面上游1.5公里开展生态维护、藻类监测、水量调度、垃圾清理等维护水质的精细化管理措施</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247" w:hRule="atLeast"/>
          <w:jc w:val="center"/>
        </w:trPr>
        <w:tc>
          <w:tcPr>
            <w:tcW w:w="499"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12</w:t>
            </w:r>
          </w:p>
        </w:tc>
        <w:tc>
          <w:tcPr>
            <w:tcW w:w="952"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184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河道底泥清淤工程</w:t>
            </w:r>
          </w:p>
        </w:tc>
        <w:tc>
          <w:tcPr>
            <w:tcW w:w="1974"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潮白河香河段底泥清淤工程</w:t>
            </w:r>
          </w:p>
        </w:tc>
        <w:tc>
          <w:tcPr>
            <w:tcW w:w="1273"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潮白河香河段</w:t>
            </w:r>
          </w:p>
        </w:tc>
        <w:tc>
          <w:tcPr>
            <w:tcW w:w="123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2019-2020</w:t>
            </w:r>
            <w:r>
              <w:rPr>
                <w:rFonts w:hint="eastAsia" w:eastAsia="仿宋_GB2312"/>
                <w:color w:val="000000"/>
                <w:kern w:val="0"/>
                <w:sz w:val="21"/>
                <w:szCs w:val="21"/>
              </w:rPr>
              <w:t>年</w:t>
            </w:r>
          </w:p>
        </w:tc>
        <w:tc>
          <w:tcPr>
            <w:tcW w:w="1120"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香河县政府</w:t>
            </w:r>
          </w:p>
        </w:tc>
        <w:tc>
          <w:tcPr>
            <w:tcW w:w="3358" w:type="dxa"/>
            <w:vAlign w:val="center"/>
          </w:tcPr>
          <w:p>
            <w:pPr>
              <w:adjustRightInd w:val="0"/>
              <w:snapToGrid w:val="0"/>
              <w:spacing w:line="300" w:lineRule="exact"/>
              <w:ind w:firstLine="0" w:firstLineChars="0"/>
              <w:rPr>
                <w:rFonts w:hint="eastAsia" w:eastAsia="仿宋_GB2312"/>
                <w:color w:val="000000"/>
                <w:kern w:val="0"/>
                <w:sz w:val="21"/>
                <w:szCs w:val="21"/>
              </w:rPr>
            </w:pPr>
            <w:r>
              <w:rPr>
                <w:rFonts w:eastAsia="仿宋_GB2312"/>
                <w:color w:val="000000"/>
                <w:kern w:val="0"/>
                <w:sz w:val="21"/>
                <w:szCs w:val="21"/>
              </w:rPr>
              <w:t>开展潮白河香河段20km河道表层底泥清淤</w:t>
            </w:r>
            <w:r>
              <w:rPr>
                <w:rFonts w:hint="eastAsia" w:eastAsia="仿宋_GB2312"/>
                <w:color w:val="000000"/>
                <w:kern w:val="0"/>
                <w:sz w:val="21"/>
                <w:szCs w:val="21"/>
              </w:rPr>
              <w:t>。</w:t>
            </w:r>
          </w:p>
        </w:tc>
        <w:tc>
          <w:tcPr>
            <w:tcW w:w="947" w:type="dxa"/>
            <w:vAlign w:val="center"/>
          </w:tcPr>
          <w:p>
            <w:pPr>
              <w:adjustRightInd w:val="0"/>
              <w:snapToGrid w:val="0"/>
              <w:spacing w:line="300" w:lineRule="exact"/>
              <w:ind w:firstLine="0" w:firstLineChars="0"/>
              <w:jc w:val="center"/>
              <w:rPr>
                <w:rFonts w:eastAsia="仿宋_GB2312"/>
                <w:color w:val="000000"/>
                <w:kern w:val="0"/>
                <w:sz w:val="21"/>
                <w:szCs w:val="21"/>
              </w:rPr>
            </w:pPr>
            <w:r>
              <w:rPr>
                <w:rFonts w:eastAsia="仿宋_GB2312"/>
                <w:color w:val="000000"/>
                <w:kern w:val="0"/>
                <w:sz w:val="21"/>
                <w:szCs w:val="21"/>
              </w:rPr>
              <w:t>9000</w:t>
            </w:r>
          </w:p>
        </w:tc>
      </w:tr>
    </w:tbl>
    <w:p>
      <w:pPr>
        <w:snapToGrid w:val="0"/>
        <w:spacing w:line="20" w:lineRule="exact"/>
        <w:ind w:firstLine="0" w:firstLineChars="0"/>
        <w:rPr>
          <w:rFonts w:eastAsia="仿宋_GB2312"/>
        </w:rPr>
      </w:pPr>
    </w:p>
    <w:p>
      <w:pPr>
        <w:pStyle w:val="10"/>
        <w:autoSpaceDN w:val="0"/>
        <w:snapToGrid w:val="0"/>
        <w:spacing w:line="600" w:lineRule="exact"/>
        <w:ind w:firstLine="198" w:firstLineChars="62"/>
        <w:jc w:val="center"/>
        <w:rPr>
          <w:rFonts w:ascii="Times New Roman" w:hAnsi="Times New Roman" w:eastAsia="仿宋_GB2312"/>
          <w:sz w:val="32"/>
          <w:szCs w:val="32"/>
        </w:rPr>
        <w:sectPr>
          <w:footerReference r:id="rId17" w:type="default"/>
          <w:footerReference r:id="rId18" w:type="even"/>
          <w:pgSz w:w="16838" w:h="11906" w:orient="landscape"/>
          <w:pgMar w:top="1440" w:right="1797" w:bottom="1440" w:left="1797" w:header="851" w:footer="851" w:gutter="0"/>
          <w:cols w:space="720" w:num="1"/>
          <w:docGrid w:linePitch="326" w:charSpace="0"/>
        </w:sectPr>
      </w:pPr>
    </w:p>
    <w:p>
      <w:pPr>
        <w:autoSpaceDN w:val="0"/>
        <w:snapToGrid w:val="0"/>
        <w:spacing w:line="700" w:lineRule="exact"/>
        <w:ind w:firstLine="880"/>
        <w:jc w:val="center"/>
        <w:rPr>
          <w:rFonts w:eastAsia="方正小标宋简体" w:cs="Times New Roman"/>
          <w:sz w:val="44"/>
          <w:szCs w:val="44"/>
        </w:rPr>
      </w:pPr>
      <w:bookmarkStart w:id="330" w:name="_Toc14197"/>
      <w:r>
        <w:rPr>
          <w:rFonts w:eastAsia="方正小标宋简体" w:cs="Times New Roman"/>
          <w:sz w:val="44"/>
          <w:szCs w:val="44"/>
        </w:rPr>
        <w:t>廊坊市北运河水质达标方案（修订</w:t>
      </w:r>
      <w:r>
        <w:rPr>
          <w:rFonts w:hint="eastAsia" w:eastAsia="方正小标宋简体" w:cs="Times New Roman"/>
          <w:sz w:val="44"/>
          <w:szCs w:val="44"/>
        </w:rPr>
        <w:t>版</w:t>
      </w:r>
      <w:r>
        <w:rPr>
          <w:rFonts w:eastAsia="方正小标宋简体" w:cs="Times New Roman"/>
          <w:sz w:val="44"/>
          <w:szCs w:val="44"/>
        </w:rPr>
        <w:t>）</w:t>
      </w:r>
      <w:bookmarkStart w:id="331" w:name="_Toc21720654"/>
      <w:bookmarkStart w:id="332" w:name="_Toc460430309"/>
    </w:p>
    <w:p>
      <w:pPr>
        <w:autoSpaceDN w:val="0"/>
        <w:snapToGrid w:val="0"/>
        <w:spacing w:line="560" w:lineRule="exact"/>
        <w:ind w:firstLine="640"/>
        <w:jc w:val="center"/>
        <w:rPr>
          <w:rFonts w:cs="Times New Roman"/>
          <w:sz w:val="32"/>
          <w:szCs w:val="32"/>
        </w:rPr>
      </w:pPr>
    </w:p>
    <w:p>
      <w:pPr>
        <w:autoSpaceDN w:val="0"/>
        <w:snapToGrid w:val="0"/>
        <w:spacing w:line="590" w:lineRule="exact"/>
        <w:ind w:firstLine="640"/>
        <w:rPr>
          <w:rFonts w:eastAsia="黑体" w:cs="Times New Roman"/>
          <w:bCs/>
          <w:sz w:val="32"/>
          <w:szCs w:val="32"/>
        </w:rPr>
      </w:pPr>
      <w:r>
        <w:rPr>
          <w:rFonts w:eastAsia="黑体" w:cs="Times New Roman"/>
          <w:bCs/>
          <w:sz w:val="32"/>
          <w:szCs w:val="32"/>
        </w:rPr>
        <w:t>一、总则</w:t>
      </w:r>
      <w:bookmarkEnd w:id="331"/>
      <w:bookmarkEnd w:id="332"/>
    </w:p>
    <w:p>
      <w:pPr>
        <w:pStyle w:val="3"/>
        <w:autoSpaceDN w:val="0"/>
        <w:snapToGrid w:val="0"/>
        <w:spacing w:line="590" w:lineRule="exact"/>
        <w:ind w:firstLine="643"/>
        <w:rPr>
          <w:rFonts w:eastAsia="楷体_GB2312"/>
          <w:bCs w:val="0"/>
        </w:rPr>
      </w:pPr>
      <w:bookmarkStart w:id="333" w:name="_Toc21720655"/>
      <w:r>
        <w:rPr>
          <w:rFonts w:eastAsia="楷体_GB2312"/>
          <w:bCs w:val="0"/>
        </w:rPr>
        <w:t>1.1修订目的</w:t>
      </w:r>
      <w:bookmarkEnd w:id="333"/>
    </w:p>
    <w:bookmarkEnd w:id="330"/>
    <w:p>
      <w:pPr>
        <w:pStyle w:val="11"/>
        <w:autoSpaceDN w:val="0"/>
        <w:snapToGrid w:val="0"/>
        <w:spacing w:line="590" w:lineRule="exact"/>
        <w:ind w:firstLine="640"/>
        <w:rPr>
          <w:rFonts w:eastAsia="仿宋_GB2312"/>
          <w:sz w:val="32"/>
          <w:szCs w:val="32"/>
        </w:rPr>
      </w:pPr>
      <w:r>
        <w:rPr>
          <w:rFonts w:eastAsia="仿宋_GB2312"/>
          <w:sz w:val="32"/>
          <w:szCs w:val="32"/>
        </w:rPr>
        <w:t>为全面贯彻落实党的十九大精神，以习近平生态文明思想为指导，牢固树立新发展理念，坚决落实党中央、国务院关于生态文明建设和污染防治攻坚战的决策部署和省委省政府关于污染防治攻坚战相关要求，针对廊坊市重点河流水环境质量总体好转、污染源治理初见成效、新的污染形势逐步突显的局面，在新理念、新部署、新形势、新要求下，进一步保障水环境质量目标稳定达标，提高水环境管理系统化、科学化、法治化、精细化水平，特对《廊坊市北运河水质达标方案》进行修订。</w:t>
      </w:r>
    </w:p>
    <w:p>
      <w:pPr>
        <w:pStyle w:val="3"/>
        <w:autoSpaceDN w:val="0"/>
        <w:snapToGrid w:val="0"/>
        <w:spacing w:line="590" w:lineRule="exact"/>
        <w:ind w:firstLine="643"/>
        <w:rPr>
          <w:rFonts w:eastAsia="楷体_GB2312"/>
          <w:bCs w:val="0"/>
        </w:rPr>
      </w:pPr>
      <w:bookmarkStart w:id="334" w:name="_Toc25425"/>
      <w:bookmarkStart w:id="335" w:name="_Toc31884"/>
      <w:bookmarkStart w:id="336" w:name="_Toc21720656"/>
      <w:bookmarkStart w:id="337" w:name="_Toc460245333"/>
      <w:r>
        <w:rPr>
          <w:rFonts w:eastAsia="楷体_GB2312"/>
          <w:bCs w:val="0"/>
        </w:rPr>
        <w:t>1.2编制依据</w:t>
      </w:r>
      <w:bookmarkEnd w:id="334"/>
      <w:bookmarkEnd w:id="335"/>
      <w:bookmarkEnd w:id="336"/>
      <w:bookmarkEnd w:id="337"/>
    </w:p>
    <w:p>
      <w:pPr>
        <w:autoSpaceDN w:val="0"/>
        <w:snapToGrid w:val="0"/>
        <w:spacing w:line="590" w:lineRule="exact"/>
        <w:ind w:firstLine="643"/>
        <w:rPr>
          <w:rFonts w:eastAsia="仿宋_GB2312" w:cs="Times New Roman"/>
          <w:b/>
          <w:bCs/>
          <w:sz w:val="32"/>
          <w:szCs w:val="32"/>
        </w:rPr>
      </w:pPr>
      <w:bookmarkStart w:id="338" w:name="_Toc21720657"/>
      <w:bookmarkStart w:id="339" w:name="_Toc460430312"/>
      <w:bookmarkStart w:id="340" w:name="_Toc458373063"/>
      <w:bookmarkStart w:id="341" w:name="_Toc454455842"/>
      <w:r>
        <w:rPr>
          <w:rFonts w:eastAsia="仿宋_GB2312" w:cs="Times New Roman"/>
          <w:b/>
          <w:bCs/>
          <w:sz w:val="32"/>
          <w:szCs w:val="32"/>
        </w:rPr>
        <w:t>1.2.1全国性法律、法规及规范性文件</w:t>
      </w:r>
      <w:bookmarkEnd w:id="338"/>
      <w:bookmarkEnd w:id="339"/>
      <w:bookmarkEnd w:id="340"/>
      <w:bookmarkEnd w:id="341"/>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（1）《中华人民共和国环境保护法》</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（2）《中华人民共和国水污染防治法》</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（3）《中华人民共和国水法》</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（4）《清洁生产促进法》</w:t>
      </w:r>
    </w:p>
    <w:p>
      <w:pPr>
        <w:autoSpaceDN w:val="0"/>
        <w:snapToGrid w:val="0"/>
        <w:spacing w:line="590" w:lineRule="exact"/>
        <w:ind w:firstLine="640"/>
        <w:rPr>
          <w:rFonts w:hint="eastAsia" w:eastAsia="仿宋_GB2312" w:cs="Times New Roman"/>
          <w:sz w:val="32"/>
          <w:szCs w:val="32"/>
        </w:rPr>
      </w:pPr>
      <w:r>
        <w:rPr>
          <w:rFonts w:eastAsia="仿宋_GB2312" w:cs="Times New Roman"/>
          <w:sz w:val="32"/>
          <w:szCs w:val="32"/>
        </w:rPr>
        <w:t>（5）《中华人民共和国固体废物污染环境防治法》</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（6）《畜禽养殖污染防治管理办法》</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w:t>
      </w:r>
      <w:r>
        <w:rPr>
          <w:rFonts w:hint="eastAsia" w:eastAsia="仿宋_GB2312" w:cs="Times New Roman"/>
          <w:sz w:val="32"/>
          <w:szCs w:val="32"/>
        </w:rPr>
        <w:t>7</w:t>
      </w:r>
      <w:r>
        <w:rPr>
          <w:rFonts w:eastAsia="仿宋_GB2312" w:cs="Times New Roman"/>
          <w:sz w:val="32"/>
          <w:szCs w:val="32"/>
        </w:rPr>
        <w:t>）</w:t>
      </w:r>
      <w:r>
        <w:rPr>
          <w:rFonts w:eastAsia="仿宋_GB2312" w:cs="Times New Roman"/>
          <w:spacing w:val="-10"/>
          <w:sz w:val="32"/>
          <w:szCs w:val="32"/>
        </w:rPr>
        <w:t>《中共中央国务院关于加快推进生态文明建设的指导意见》</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w:t>
      </w:r>
      <w:r>
        <w:rPr>
          <w:rFonts w:hint="eastAsia" w:eastAsia="仿宋_GB2312" w:cs="Times New Roman"/>
          <w:sz w:val="32"/>
          <w:szCs w:val="32"/>
        </w:rPr>
        <w:t>8</w:t>
      </w:r>
      <w:r>
        <w:rPr>
          <w:rFonts w:eastAsia="仿宋_GB2312" w:cs="Times New Roman"/>
          <w:sz w:val="32"/>
          <w:szCs w:val="32"/>
        </w:rPr>
        <w:t>）《生态文明体制改革总体方案》</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w:t>
      </w:r>
      <w:r>
        <w:rPr>
          <w:rFonts w:hint="eastAsia" w:eastAsia="仿宋_GB2312" w:cs="Times New Roman"/>
          <w:sz w:val="32"/>
          <w:szCs w:val="32"/>
        </w:rPr>
        <w:t>9</w:t>
      </w:r>
      <w:r>
        <w:rPr>
          <w:rFonts w:eastAsia="仿宋_GB2312" w:cs="Times New Roman"/>
          <w:sz w:val="32"/>
          <w:szCs w:val="32"/>
        </w:rPr>
        <w:t>）</w:t>
      </w:r>
      <w:r>
        <w:rPr>
          <w:rFonts w:eastAsia="仿宋_GB2312" w:cs="Times New Roman"/>
          <w:spacing w:val="-10"/>
          <w:sz w:val="32"/>
          <w:szCs w:val="32"/>
        </w:rPr>
        <w:t>《</w:t>
      </w:r>
      <w:r>
        <w:rPr>
          <w:rFonts w:hint="eastAsia" w:eastAsia="仿宋_GB2312" w:cs="Times New Roman"/>
          <w:spacing w:val="-10"/>
          <w:sz w:val="32"/>
          <w:szCs w:val="32"/>
        </w:rPr>
        <w:t>中共中央</w:t>
      </w:r>
      <w:r>
        <w:rPr>
          <w:rFonts w:eastAsia="仿宋_GB2312" w:cs="Times New Roman"/>
          <w:spacing w:val="-10"/>
          <w:sz w:val="32"/>
          <w:szCs w:val="32"/>
        </w:rPr>
        <w:t>关于制定国民经济和社会发展第十三个五年规划的建议》</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w:t>
      </w:r>
      <w:r>
        <w:rPr>
          <w:rFonts w:hint="eastAsia" w:eastAsia="仿宋_GB2312" w:cs="Times New Roman"/>
          <w:sz w:val="32"/>
          <w:szCs w:val="32"/>
        </w:rPr>
        <w:t>10</w:t>
      </w:r>
      <w:r>
        <w:rPr>
          <w:rFonts w:eastAsia="仿宋_GB2312" w:cs="Times New Roman"/>
          <w:sz w:val="32"/>
          <w:szCs w:val="32"/>
        </w:rPr>
        <w:t>）《水污染防治行动计划》（国发〔2015〕17号）</w:t>
      </w:r>
    </w:p>
    <w:p>
      <w:pPr>
        <w:autoSpaceDN w:val="0"/>
        <w:snapToGrid w:val="0"/>
        <w:spacing w:line="590" w:lineRule="exact"/>
        <w:ind w:firstLine="640"/>
        <w:rPr>
          <w:rFonts w:hint="eastAsia" w:eastAsia="仿宋_GB2312" w:cs="Times New Roman"/>
          <w:sz w:val="32"/>
          <w:szCs w:val="32"/>
        </w:rPr>
      </w:pPr>
      <w:r>
        <w:rPr>
          <w:rFonts w:eastAsia="仿宋_GB2312" w:cs="Times New Roman"/>
          <w:sz w:val="32"/>
          <w:szCs w:val="32"/>
        </w:rPr>
        <w:t>（1</w:t>
      </w:r>
      <w:r>
        <w:rPr>
          <w:rFonts w:hint="eastAsia" w:eastAsia="仿宋_GB2312" w:cs="Times New Roman"/>
          <w:sz w:val="32"/>
          <w:szCs w:val="32"/>
        </w:rPr>
        <w:t>1</w:t>
      </w:r>
      <w:r>
        <w:rPr>
          <w:rFonts w:eastAsia="仿宋_GB2312" w:cs="Times New Roman"/>
          <w:sz w:val="32"/>
          <w:szCs w:val="32"/>
        </w:rPr>
        <w:t>）</w:t>
      </w:r>
      <w:r>
        <w:rPr>
          <w:rFonts w:hint="eastAsia" w:eastAsia="仿宋_GB2312" w:cs="Times New Roman"/>
          <w:sz w:val="32"/>
          <w:szCs w:val="32"/>
        </w:rPr>
        <w:t>《</w:t>
      </w:r>
      <w:r>
        <w:rPr>
          <w:rFonts w:eastAsia="仿宋_GB2312" w:cs="Times New Roman"/>
          <w:sz w:val="32"/>
          <w:szCs w:val="32"/>
        </w:rPr>
        <w:t>国家与河北省人民政府签订的水污染防治目标责任书</w:t>
      </w:r>
      <w:r>
        <w:rPr>
          <w:rFonts w:hint="eastAsia" w:eastAsia="仿宋_GB2312" w:cs="Times New Roman"/>
          <w:sz w:val="32"/>
          <w:szCs w:val="32"/>
        </w:rPr>
        <w:t>》</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2</w:t>
      </w:r>
      <w:r>
        <w:rPr>
          <w:rFonts w:eastAsia="仿宋_GB2312" w:cs="Times New Roman"/>
          <w:sz w:val="32"/>
          <w:szCs w:val="32"/>
        </w:rPr>
        <w:t>）《国务院关于加强环境保护重点工作的意见》（国发〔2011〕35号）</w:t>
      </w:r>
    </w:p>
    <w:p>
      <w:pPr>
        <w:autoSpaceDN w:val="0"/>
        <w:snapToGrid w:val="0"/>
        <w:spacing w:line="590" w:lineRule="exact"/>
        <w:ind w:firstLine="624"/>
        <w:rPr>
          <w:rFonts w:eastAsia="仿宋_GB2312" w:cs="Times New Roman"/>
          <w:spacing w:val="-4"/>
          <w:sz w:val="32"/>
          <w:szCs w:val="32"/>
        </w:rPr>
      </w:pPr>
      <w:r>
        <w:rPr>
          <w:rFonts w:eastAsia="仿宋_GB2312" w:cs="Times New Roman"/>
          <w:spacing w:val="-4"/>
          <w:sz w:val="32"/>
          <w:szCs w:val="32"/>
        </w:rPr>
        <w:t>（1</w:t>
      </w:r>
      <w:r>
        <w:rPr>
          <w:rFonts w:hint="eastAsia" w:eastAsia="仿宋_GB2312" w:cs="Times New Roman"/>
          <w:spacing w:val="-4"/>
          <w:sz w:val="32"/>
          <w:szCs w:val="32"/>
        </w:rPr>
        <w:t>3</w:t>
      </w:r>
      <w:r>
        <w:rPr>
          <w:rFonts w:eastAsia="仿宋_GB2312" w:cs="Times New Roman"/>
          <w:spacing w:val="-4"/>
          <w:sz w:val="32"/>
          <w:szCs w:val="32"/>
        </w:rPr>
        <w:t>）《国务院关于印发&lt;“十二五”节能减排综合性工作方案&gt;的通知》（国发〔2011〕26号）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4</w:t>
      </w:r>
      <w:r>
        <w:rPr>
          <w:rFonts w:eastAsia="仿宋_GB2312" w:cs="Times New Roman"/>
          <w:sz w:val="32"/>
          <w:szCs w:val="32"/>
        </w:rPr>
        <w:t>）《</w:t>
      </w:r>
      <w:r>
        <w:rPr>
          <w:rFonts w:eastAsia="仿宋_GB2312" w:cs="Times New Roman"/>
          <w:spacing w:val="2"/>
          <w:sz w:val="32"/>
          <w:szCs w:val="32"/>
        </w:rPr>
        <w:t>中共中央国务院关于加快水利改革发展的决定》（</w:t>
      </w:r>
      <w:r>
        <w:rPr>
          <w:rFonts w:eastAsia="仿宋_GB2312" w:cs="Times New Roman"/>
          <w:sz w:val="32"/>
          <w:szCs w:val="32"/>
        </w:rPr>
        <w:t>中发〔2011〕1号）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5</w:t>
      </w:r>
      <w:r>
        <w:rPr>
          <w:rFonts w:eastAsia="仿宋_GB2312" w:cs="Times New Roman"/>
          <w:sz w:val="32"/>
          <w:szCs w:val="32"/>
        </w:rPr>
        <w:t>）《国务院关于实行最严格水资源管理制度的意见》（国发〔2012〕3号）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6</w:t>
      </w:r>
      <w:r>
        <w:rPr>
          <w:rFonts w:eastAsia="仿宋_GB2312" w:cs="Times New Roman"/>
          <w:sz w:val="32"/>
          <w:szCs w:val="32"/>
        </w:rPr>
        <w:t>）《国务院关于落实科学发展观加强环境保护的决定》</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（17）《水土保持生态环境监测网络管理办法》</w:t>
      </w:r>
    </w:p>
    <w:p>
      <w:pPr>
        <w:autoSpaceDN w:val="0"/>
        <w:snapToGrid w:val="0"/>
        <w:spacing w:line="590" w:lineRule="exact"/>
        <w:ind w:firstLine="643"/>
        <w:rPr>
          <w:rFonts w:eastAsia="仿宋_GB2312" w:cs="Times New Roman"/>
          <w:b/>
          <w:bCs/>
          <w:sz w:val="32"/>
          <w:szCs w:val="32"/>
        </w:rPr>
      </w:pPr>
      <w:bookmarkStart w:id="342" w:name="_Toc460430313"/>
      <w:bookmarkStart w:id="343" w:name="_Toc21720658"/>
      <w:bookmarkStart w:id="344" w:name="_Toc454455843"/>
      <w:bookmarkStart w:id="345" w:name="_Toc458373064"/>
      <w:r>
        <w:rPr>
          <w:rFonts w:eastAsia="仿宋_GB2312" w:cs="Times New Roman"/>
          <w:b/>
          <w:bCs/>
          <w:sz w:val="32"/>
          <w:szCs w:val="32"/>
        </w:rPr>
        <w:t>1.2.2引用标准</w:t>
      </w:r>
      <w:bookmarkEnd w:id="342"/>
      <w:bookmarkEnd w:id="343"/>
      <w:bookmarkEnd w:id="344"/>
      <w:bookmarkEnd w:id="345"/>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（1）《地表水环境质量标准》（GB3838</w:t>
      </w:r>
      <w:r>
        <w:rPr>
          <w:rFonts w:hint="eastAsia" w:eastAsia="仿宋_GB2312" w:cs="Times New Roman"/>
          <w:sz w:val="32"/>
          <w:szCs w:val="32"/>
        </w:rPr>
        <w:t>—</w:t>
      </w:r>
      <w:r>
        <w:rPr>
          <w:rFonts w:eastAsia="仿宋_GB2312" w:cs="Times New Roman"/>
          <w:sz w:val="32"/>
          <w:szCs w:val="32"/>
        </w:rPr>
        <w:t>2002）</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（2）《农田灌溉水质标准》（GB5048</w:t>
      </w:r>
      <w:r>
        <w:rPr>
          <w:rFonts w:hint="eastAsia" w:eastAsia="仿宋_GB2312" w:cs="Times New Roman"/>
          <w:sz w:val="32"/>
          <w:szCs w:val="32"/>
        </w:rPr>
        <w:t>—</w:t>
      </w:r>
      <w:r>
        <w:rPr>
          <w:rFonts w:eastAsia="仿宋_GB2312" w:cs="Times New Roman"/>
          <w:sz w:val="32"/>
          <w:szCs w:val="32"/>
        </w:rPr>
        <w:t>2005）</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（3）《生活饮用水卫生标准》（GB5749</w:t>
      </w:r>
      <w:r>
        <w:rPr>
          <w:rFonts w:hint="eastAsia" w:eastAsia="仿宋_GB2312" w:cs="Times New Roman"/>
          <w:sz w:val="32"/>
          <w:szCs w:val="32"/>
        </w:rPr>
        <w:t>—</w:t>
      </w:r>
      <w:r>
        <w:rPr>
          <w:rFonts w:eastAsia="仿宋_GB2312" w:cs="Times New Roman"/>
          <w:sz w:val="32"/>
          <w:szCs w:val="32"/>
        </w:rPr>
        <w:t>2006）</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（4）《土壤环境质量标准》（GB15618</w:t>
      </w:r>
      <w:r>
        <w:rPr>
          <w:rFonts w:hint="eastAsia" w:eastAsia="仿宋_GB2312" w:cs="Times New Roman"/>
          <w:sz w:val="32"/>
          <w:szCs w:val="32"/>
        </w:rPr>
        <w:t>—</w:t>
      </w:r>
      <w:r>
        <w:rPr>
          <w:rFonts w:eastAsia="仿宋_GB2312" w:cs="Times New Roman"/>
          <w:sz w:val="32"/>
          <w:szCs w:val="32"/>
        </w:rPr>
        <w:t>1995）</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（6）《城镇污水处理厂污染物排放标准》（GB18918</w:t>
      </w:r>
      <w:r>
        <w:rPr>
          <w:rFonts w:hint="eastAsia" w:eastAsia="仿宋_GB2312" w:cs="Times New Roman"/>
          <w:sz w:val="32"/>
          <w:szCs w:val="32"/>
        </w:rPr>
        <w:t>—</w:t>
      </w:r>
      <w:r>
        <w:rPr>
          <w:rFonts w:eastAsia="仿宋_GB2312" w:cs="Times New Roman"/>
          <w:sz w:val="32"/>
          <w:szCs w:val="32"/>
        </w:rPr>
        <w:t>2002）</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（7）《畜禽养殖业污染物排放标准》（GB18596</w:t>
      </w:r>
      <w:r>
        <w:rPr>
          <w:rFonts w:hint="eastAsia" w:eastAsia="仿宋_GB2312" w:cs="Times New Roman"/>
          <w:sz w:val="32"/>
          <w:szCs w:val="32"/>
        </w:rPr>
        <w:t>—</w:t>
      </w:r>
      <w:r>
        <w:rPr>
          <w:rFonts w:eastAsia="仿宋_GB2312" w:cs="Times New Roman"/>
          <w:sz w:val="32"/>
          <w:szCs w:val="32"/>
        </w:rPr>
        <w:t>2001）</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（8）《农用污泥污染物控制标准》（GB4284</w:t>
      </w:r>
      <w:r>
        <w:rPr>
          <w:rFonts w:hint="eastAsia" w:eastAsia="仿宋_GB2312" w:cs="Times New Roman"/>
          <w:sz w:val="32"/>
          <w:szCs w:val="32"/>
        </w:rPr>
        <w:t>—</w:t>
      </w:r>
      <w:r>
        <w:rPr>
          <w:rFonts w:eastAsia="仿宋_GB2312" w:cs="Times New Roman"/>
          <w:sz w:val="32"/>
          <w:szCs w:val="32"/>
        </w:rPr>
        <w:t>2018）</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（9）《工业企业设计卫生标准》（GBZ1</w:t>
      </w:r>
      <w:r>
        <w:rPr>
          <w:rFonts w:hint="eastAsia" w:eastAsia="仿宋_GB2312" w:cs="Times New Roman"/>
          <w:sz w:val="32"/>
          <w:szCs w:val="32"/>
        </w:rPr>
        <w:t>—</w:t>
      </w:r>
      <w:r>
        <w:rPr>
          <w:rFonts w:eastAsia="仿宋_GB2312" w:cs="Times New Roman"/>
          <w:sz w:val="32"/>
          <w:szCs w:val="32"/>
        </w:rPr>
        <w:t>2002）</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（10）《水污染防治工作方案编制技术指南》（环办函〔2015〕1232号）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（11）</w:t>
      </w:r>
      <w:r>
        <w:rPr>
          <w:rFonts w:eastAsia="仿宋_GB2312" w:cs="Times New Roman"/>
          <w:spacing w:val="-10"/>
          <w:sz w:val="32"/>
          <w:szCs w:val="32"/>
        </w:rPr>
        <w:t>《水体达标方案编制技术指南》（环办函〔2015〕1711号）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（12）</w:t>
      </w:r>
      <w:r>
        <w:rPr>
          <w:rFonts w:eastAsia="仿宋_GB2312" w:cs="Times New Roman"/>
          <w:spacing w:val="2"/>
          <w:sz w:val="32"/>
          <w:szCs w:val="32"/>
        </w:rPr>
        <w:t>《江河湖泊生态环境保护系列技术指南》（环办〔2014</w:t>
      </w:r>
      <w:r>
        <w:rPr>
          <w:rFonts w:eastAsia="仿宋_GB2312" w:cs="Times New Roman"/>
          <w:sz w:val="32"/>
          <w:szCs w:val="32"/>
        </w:rPr>
        <w:t>〕111号）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（13）《“十二五”主要污染物总量减排核算细则》</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（14）《人工湿地污水处理工程技术规范》（HJ2005</w:t>
      </w:r>
      <w:r>
        <w:rPr>
          <w:rFonts w:hint="eastAsia" w:eastAsia="仿宋_GB2312" w:cs="Times New Roman"/>
          <w:sz w:val="32"/>
          <w:szCs w:val="32"/>
        </w:rPr>
        <w:t>—</w:t>
      </w:r>
      <w:r>
        <w:rPr>
          <w:rFonts w:eastAsia="仿宋_GB2312" w:cs="Times New Roman"/>
          <w:sz w:val="32"/>
          <w:szCs w:val="32"/>
        </w:rPr>
        <w:t>2010）</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（15）《生物接触氧化法污水处理工程技术规范》（HJ2009</w:t>
      </w:r>
      <w:r>
        <w:rPr>
          <w:rFonts w:hint="eastAsia" w:eastAsia="仿宋_GB2312" w:cs="Times New Roman"/>
          <w:sz w:val="32"/>
          <w:szCs w:val="32"/>
        </w:rPr>
        <w:t>—</w:t>
      </w:r>
      <w:r>
        <w:rPr>
          <w:rFonts w:eastAsia="仿宋_GB2312" w:cs="Times New Roman"/>
          <w:sz w:val="32"/>
          <w:szCs w:val="32"/>
        </w:rPr>
        <w:t>2011）</w:t>
      </w:r>
    </w:p>
    <w:p>
      <w:pPr>
        <w:pStyle w:val="11"/>
        <w:autoSpaceDN w:val="0"/>
        <w:snapToGrid w:val="0"/>
        <w:spacing w:line="590" w:lineRule="exact"/>
        <w:ind w:firstLine="640"/>
        <w:rPr>
          <w:rFonts w:eastAsia="仿宋_GB2312"/>
          <w:sz w:val="32"/>
          <w:szCs w:val="32"/>
        </w:rPr>
      </w:pPr>
      <w:r>
        <w:rPr>
          <w:rFonts w:eastAsia="仿宋_GB2312"/>
          <w:sz w:val="32"/>
          <w:szCs w:val="32"/>
        </w:rPr>
        <w:t>（16）《污水稳定塘设计规范》（GJJ/T54</w:t>
      </w:r>
      <w:r>
        <w:rPr>
          <w:rFonts w:hint="eastAsia" w:eastAsia="仿宋_GB2312"/>
          <w:sz w:val="32"/>
          <w:szCs w:val="32"/>
        </w:rPr>
        <w:t>—</w:t>
      </w:r>
      <w:r>
        <w:rPr>
          <w:rFonts w:eastAsia="仿宋_GB2312"/>
          <w:sz w:val="32"/>
          <w:szCs w:val="32"/>
        </w:rPr>
        <w:t>93）</w:t>
      </w:r>
    </w:p>
    <w:p>
      <w:pPr>
        <w:pStyle w:val="11"/>
        <w:autoSpaceDN w:val="0"/>
        <w:snapToGrid w:val="0"/>
        <w:spacing w:line="590" w:lineRule="exact"/>
        <w:ind w:firstLine="640"/>
        <w:rPr>
          <w:rFonts w:eastAsia="仿宋_GB2312"/>
          <w:sz w:val="32"/>
          <w:szCs w:val="32"/>
        </w:rPr>
      </w:pPr>
      <w:r>
        <w:rPr>
          <w:rFonts w:eastAsia="仿宋_GB2312"/>
          <w:sz w:val="32"/>
          <w:szCs w:val="32"/>
        </w:rPr>
        <w:t>（17）《华北地区农村生活污水处理技术指南（试行）》</w:t>
      </w:r>
    </w:p>
    <w:p>
      <w:pPr>
        <w:autoSpaceDN w:val="0"/>
        <w:snapToGrid w:val="0"/>
        <w:spacing w:line="590" w:lineRule="exact"/>
        <w:ind w:firstLine="643"/>
        <w:rPr>
          <w:rFonts w:eastAsia="仿宋_GB2312" w:cs="Times New Roman"/>
          <w:b/>
          <w:bCs/>
          <w:sz w:val="32"/>
          <w:szCs w:val="32"/>
        </w:rPr>
      </w:pPr>
      <w:bookmarkStart w:id="346" w:name="_Toc454455844"/>
      <w:bookmarkStart w:id="347" w:name="_Toc21720659"/>
      <w:bookmarkStart w:id="348" w:name="_Toc458373065"/>
      <w:bookmarkStart w:id="349" w:name="_Toc460430314"/>
      <w:r>
        <w:rPr>
          <w:rFonts w:eastAsia="仿宋_GB2312" w:cs="Times New Roman"/>
          <w:b/>
          <w:bCs/>
          <w:sz w:val="32"/>
          <w:szCs w:val="32"/>
        </w:rPr>
        <w:t>1.2.3相关规划及方案</w:t>
      </w:r>
      <w:bookmarkEnd w:id="346"/>
      <w:bookmarkEnd w:id="347"/>
      <w:bookmarkEnd w:id="348"/>
      <w:bookmarkEnd w:id="349"/>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河北省人民政府</w:t>
      </w:r>
      <w:r>
        <w:rPr>
          <w:rFonts w:eastAsia="仿宋_GB2312" w:cs="Times New Roman"/>
          <w:sz w:val="32"/>
          <w:szCs w:val="32"/>
        </w:rPr>
        <w:t>关于印发&lt;河北省水污染防治工作方案&gt;的通知》（冀发〔2015〕28号）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（2）</w:t>
      </w:r>
      <w:r>
        <w:rPr>
          <w:rFonts w:eastAsia="仿宋_GB2312" w:cs="Times New Roman"/>
          <w:spacing w:val="2"/>
          <w:sz w:val="32"/>
          <w:szCs w:val="32"/>
        </w:rPr>
        <w:t>《河北省人民政府关于印发&lt;河北省生态环境保护“十</w:t>
      </w:r>
      <w:r>
        <w:rPr>
          <w:rFonts w:eastAsia="仿宋_GB2312" w:cs="Times New Roman"/>
          <w:sz w:val="32"/>
          <w:szCs w:val="32"/>
        </w:rPr>
        <w:t>三五”规划&gt;的通知》（冀政字〔2017〕10号）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（3）</w:t>
      </w:r>
      <w:r>
        <w:rPr>
          <w:rFonts w:eastAsia="仿宋_GB2312" w:cs="Times New Roman"/>
          <w:spacing w:val="2"/>
          <w:sz w:val="32"/>
          <w:szCs w:val="32"/>
        </w:rPr>
        <w:t>《</w:t>
      </w:r>
      <w:r>
        <w:rPr>
          <w:rFonts w:hint="eastAsia" w:eastAsia="仿宋_GB2312" w:cs="Times New Roman"/>
          <w:spacing w:val="2"/>
          <w:sz w:val="32"/>
          <w:szCs w:val="32"/>
        </w:rPr>
        <w:t>中共</w:t>
      </w:r>
      <w:r>
        <w:rPr>
          <w:rFonts w:eastAsia="仿宋_GB2312" w:cs="Times New Roman"/>
          <w:spacing w:val="2"/>
          <w:sz w:val="32"/>
          <w:szCs w:val="32"/>
        </w:rPr>
        <w:t>河北省委</w:t>
      </w:r>
      <w:r>
        <w:rPr>
          <w:rFonts w:hint="eastAsia" w:eastAsia="仿宋_GB2312" w:cs="Times New Roman"/>
          <w:spacing w:val="2"/>
          <w:sz w:val="32"/>
          <w:szCs w:val="32"/>
        </w:rPr>
        <w:t>河北</w:t>
      </w:r>
      <w:r>
        <w:rPr>
          <w:rFonts w:eastAsia="仿宋_GB2312" w:cs="Times New Roman"/>
          <w:spacing w:val="2"/>
          <w:sz w:val="32"/>
          <w:szCs w:val="32"/>
        </w:rPr>
        <w:t>省</w:t>
      </w:r>
      <w:r>
        <w:rPr>
          <w:rFonts w:hint="eastAsia" w:eastAsia="仿宋_GB2312" w:cs="Times New Roman"/>
          <w:spacing w:val="2"/>
          <w:sz w:val="32"/>
          <w:szCs w:val="32"/>
        </w:rPr>
        <w:t>人民</w:t>
      </w:r>
      <w:r>
        <w:rPr>
          <w:rFonts w:eastAsia="仿宋_GB2312" w:cs="Times New Roman"/>
          <w:spacing w:val="2"/>
          <w:sz w:val="32"/>
          <w:szCs w:val="32"/>
        </w:rPr>
        <w:t>政府关于全面加强生态环</w:t>
      </w:r>
      <w:r>
        <w:rPr>
          <w:rFonts w:eastAsia="仿宋_GB2312" w:cs="Times New Roman"/>
          <w:sz w:val="32"/>
          <w:szCs w:val="32"/>
        </w:rPr>
        <w:t>境保护坚决打好污染防治攻坚战的实施意见》</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（4）《河北省水污染防治工作领导小组办公室关于印发&lt;河北省碧水保卫战三年行动计划（2018</w:t>
      </w:r>
      <w:r>
        <w:rPr>
          <w:rFonts w:hint="eastAsia" w:eastAsia="仿宋_GB2312" w:cs="Times New Roman"/>
          <w:sz w:val="32"/>
          <w:szCs w:val="32"/>
        </w:rPr>
        <w:t>—</w:t>
      </w:r>
      <w:r>
        <w:rPr>
          <w:rFonts w:eastAsia="仿宋_GB2312" w:cs="Times New Roman"/>
          <w:sz w:val="32"/>
          <w:szCs w:val="32"/>
        </w:rPr>
        <w:t>2020年）&gt;的通知》（冀水领办〔2018〕123号）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（5）</w:t>
      </w:r>
      <w:r>
        <w:rPr>
          <w:rFonts w:eastAsia="仿宋_GB2312" w:cs="Times New Roman"/>
          <w:spacing w:val="2"/>
          <w:sz w:val="32"/>
          <w:szCs w:val="32"/>
        </w:rPr>
        <w:t>《</w:t>
      </w:r>
      <w:r>
        <w:rPr>
          <w:rFonts w:hint="eastAsia" w:eastAsia="仿宋_GB2312" w:cs="Times New Roman"/>
          <w:spacing w:val="2"/>
          <w:sz w:val="32"/>
          <w:szCs w:val="32"/>
        </w:rPr>
        <w:t>河北省环境保护厅</w:t>
      </w:r>
      <w:r>
        <w:rPr>
          <w:rFonts w:eastAsia="仿宋_GB2312" w:cs="Times New Roman"/>
          <w:spacing w:val="2"/>
          <w:sz w:val="32"/>
          <w:szCs w:val="32"/>
        </w:rPr>
        <w:t>关于加快推进全省农村生活污水</w:t>
      </w:r>
      <w:r>
        <w:rPr>
          <w:rFonts w:eastAsia="仿宋_GB2312" w:cs="Times New Roman"/>
          <w:sz w:val="32"/>
          <w:szCs w:val="32"/>
        </w:rPr>
        <w:t>治理工作的通知》（冀环水〔2018〕301号）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（6）《河北省农村人居环境整治三年行动实施方案（2018</w:t>
      </w:r>
      <w:r>
        <w:rPr>
          <w:rFonts w:hint="eastAsia" w:eastAsia="仿宋_GB2312" w:cs="Times New Roman"/>
          <w:sz w:val="32"/>
          <w:szCs w:val="32"/>
        </w:rPr>
        <w:t>—</w:t>
      </w:r>
      <w:r>
        <w:rPr>
          <w:rFonts w:eastAsia="仿宋_GB2312" w:cs="Times New Roman"/>
          <w:sz w:val="32"/>
          <w:szCs w:val="32"/>
        </w:rPr>
        <w:t>2020年）》（冀办发〔2018〕3号）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（7）《河北省水污染防治工作领导小组办公室关于印发&lt;河北省农村生活污水治理行动计划&gt;的通知》</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（8）《河北省生态环境厅河北省农业农村厅关于印发&lt;河北省农业农村污染治理攻坚战实施方案&gt;的通知》</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（9）《廊坊市水资源公报（2011</w:t>
      </w:r>
      <w:r>
        <w:rPr>
          <w:rFonts w:hint="eastAsia" w:eastAsia="仿宋_GB2312" w:cs="Times New Roman"/>
          <w:sz w:val="32"/>
          <w:szCs w:val="32"/>
        </w:rPr>
        <w:t>—</w:t>
      </w:r>
      <w:r>
        <w:rPr>
          <w:rFonts w:eastAsia="仿宋_GB2312" w:cs="Times New Roman"/>
          <w:sz w:val="32"/>
          <w:szCs w:val="32"/>
        </w:rPr>
        <w:t>2018年）》</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（10）《廊坊市国民经济和社会发展“十三五”规划》</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（11）《廊坊市水污染防治工作实施方案》</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（12）《廊坊市生态市建设规划》</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（13）《廊坊市环境保护“十三五”规划》</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（14）《廊坊市环境保护局关于对全市城乡集中式饮用水水源地采取最严格保护措施的通知》</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（15）</w:t>
      </w:r>
      <w:r>
        <w:rPr>
          <w:rFonts w:eastAsia="仿宋_GB2312" w:cs="Times New Roman"/>
          <w:spacing w:val="4"/>
          <w:sz w:val="32"/>
          <w:szCs w:val="32"/>
        </w:rPr>
        <w:t>《廊坊市2016</w:t>
      </w:r>
      <w:r>
        <w:rPr>
          <w:rFonts w:hint="eastAsia" w:eastAsia="仿宋_GB2312" w:cs="Times New Roman"/>
          <w:spacing w:val="4"/>
          <w:sz w:val="32"/>
          <w:szCs w:val="32"/>
        </w:rPr>
        <w:t>—</w:t>
      </w:r>
      <w:r>
        <w:rPr>
          <w:rFonts w:eastAsia="仿宋_GB2312" w:cs="Times New Roman"/>
          <w:spacing w:val="4"/>
          <w:sz w:val="32"/>
          <w:szCs w:val="32"/>
        </w:rPr>
        <w:t>2018年度&lt;河北省水污染防治工作方</w:t>
      </w:r>
      <w:r>
        <w:rPr>
          <w:rFonts w:eastAsia="仿宋_GB2312" w:cs="Times New Roman"/>
          <w:sz w:val="32"/>
          <w:szCs w:val="32"/>
        </w:rPr>
        <w:t>案&gt;实施情况自查报告》</w:t>
      </w:r>
    </w:p>
    <w:p>
      <w:pPr>
        <w:autoSpaceDN w:val="0"/>
        <w:snapToGrid w:val="0"/>
        <w:spacing w:line="590" w:lineRule="exact"/>
        <w:ind w:firstLine="640"/>
        <w:rPr>
          <w:rFonts w:hint="eastAsia" w:eastAsia="仿宋_GB2312" w:cs="Times New Roman"/>
          <w:sz w:val="32"/>
          <w:szCs w:val="32"/>
        </w:rPr>
      </w:pPr>
      <w:r>
        <w:rPr>
          <w:rFonts w:eastAsia="仿宋_GB2312" w:cs="Times New Roman"/>
          <w:sz w:val="32"/>
          <w:szCs w:val="32"/>
        </w:rPr>
        <w:t>（16）</w:t>
      </w:r>
      <w:r>
        <w:rPr>
          <w:rFonts w:hint="eastAsia" w:eastAsia="仿宋_GB2312" w:cs="Times New Roman"/>
          <w:sz w:val="32"/>
          <w:szCs w:val="32"/>
        </w:rPr>
        <w:t>《</w:t>
      </w:r>
      <w:r>
        <w:rPr>
          <w:rFonts w:eastAsia="仿宋_GB2312" w:cs="Times New Roman"/>
          <w:sz w:val="32"/>
          <w:szCs w:val="32"/>
        </w:rPr>
        <w:t>廊坊市“十三五”工业发展规划</w:t>
      </w:r>
      <w:r>
        <w:rPr>
          <w:rFonts w:hint="eastAsia" w:eastAsia="仿宋_GB2312" w:cs="Times New Roman"/>
          <w:sz w:val="32"/>
          <w:szCs w:val="32"/>
        </w:rPr>
        <w:t>》</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（17）《香河县中心城区给水工程专项规划（2008</w:t>
      </w:r>
      <w:r>
        <w:rPr>
          <w:rFonts w:hint="eastAsia" w:eastAsia="仿宋_GB2312" w:cs="Times New Roman"/>
          <w:sz w:val="32"/>
          <w:szCs w:val="32"/>
        </w:rPr>
        <w:t>—</w:t>
      </w:r>
      <w:r>
        <w:rPr>
          <w:rFonts w:eastAsia="仿宋_GB2312" w:cs="Times New Roman"/>
          <w:sz w:val="32"/>
          <w:szCs w:val="32"/>
        </w:rPr>
        <w:t>2020）》</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（18）《香河县防洪应急预案》（2015）</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（19）《香河县除涝应急预案》（2015）</w:t>
      </w:r>
    </w:p>
    <w:p>
      <w:pPr>
        <w:pStyle w:val="3"/>
        <w:autoSpaceDN w:val="0"/>
        <w:snapToGrid w:val="0"/>
        <w:spacing w:line="590" w:lineRule="exact"/>
        <w:ind w:firstLine="643"/>
        <w:rPr>
          <w:rFonts w:eastAsia="楷体_GB2312"/>
          <w:bCs w:val="0"/>
        </w:rPr>
      </w:pPr>
      <w:bookmarkStart w:id="350" w:name="_Toc21720660"/>
      <w:r>
        <w:rPr>
          <w:rFonts w:eastAsia="楷体_GB2312"/>
          <w:bCs w:val="0"/>
        </w:rPr>
        <w:t>1.3指导思想</w:t>
      </w:r>
      <w:bookmarkEnd w:id="350"/>
    </w:p>
    <w:p>
      <w:pPr>
        <w:pStyle w:val="11"/>
        <w:autoSpaceDN w:val="0"/>
        <w:spacing w:line="590" w:lineRule="exact"/>
        <w:ind w:firstLine="640"/>
        <w:rPr>
          <w:rFonts w:eastAsia="仿宋_GB2312"/>
          <w:sz w:val="32"/>
          <w:szCs w:val="32"/>
        </w:rPr>
      </w:pPr>
      <w:r>
        <w:rPr>
          <w:rFonts w:eastAsia="仿宋_GB2312"/>
          <w:sz w:val="32"/>
          <w:szCs w:val="32"/>
        </w:rPr>
        <w:t>以习近平新时代中国特色社会主义思想为指导，全面贯彻党的十九大和十九届二中、三中全会精神，深入贯彻习近平生态文明思想，坚决落实党中央、国务院决策部署和省委省政府关于污染防治攻坚战相关要求，以北运河水生态环境质量改善为核心，统筹山水林田湖草系统治理，坚持污染防治与生态保护并重，推进水污染治理、水生态修复、水资源保护“三水共治”，强化污染源精细化管控，创新体制机制建设，落实党政各方责任，着力解决突出水生态环境问题，确保北运河水生态环境质量持续改善，为京津冀协同发展提供有力的水生态环境支撑。</w:t>
      </w:r>
    </w:p>
    <w:p>
      <w:pPr>
        <w:pStyle w:val="3"/>
        <w:autoSpaceDN w:val="0"/>
        <w:snapToGrid w:val="0"/>
        <w:spacing w:line="590" w:lineRule="exact"/>
        <w:ind w:firstLine="643"/>
        <w:rPr>
          <w:rFonts w:eastAsia="楷体_GB2312"/>
          <w:bCs w:val="0"/>
        </w:rPr>
      </w:pPr>
      <w:bookmarkStart w:id="351" w:name="_Toc21720661"/>
      <w:bookmarkStart w:id="352" w:name="_Toc460430316"/>
      <w:r>
        <w:rPr>
          <w:rFonts w:eastAsia="楷体_GB2312"/>
          <w:bCs w:val="0"/>
        </w:rPr>
        <w:t>1.4工作范围与时限</w:t>
      </w:r>
      <w:bookmarkEnd w:id="351"/>
    </w:p>
    <w:p>
      <w:pPr>
        <w:pStyle w:val="11"/>
        <w:autoSpaceDN w:val="0"/>
        <w:spacing w:line="590" w:lineRule="exact"/>
        <w:ind w:firstLine="640"/>
        <w:rPr>
          <w:rFonts w:eastAsia="仿宋_GB2312"/>
          <w:sz w:val="32"/>
          <w:szCs w:val="32"/>
        </w:rPr>
      </w:pPr>
      <w:r>
        <w:rPr>
          <w:rFonts w:eastAsia="仿宋_GB2312"/>
          <w:sz w:val="32"/>
          <w:szCs w:val="32"/>
        </w:rPr>
        <w:t>北运河香河段来水由北运河通州段及牛牧屯引河提供，交汇点位于王家摆断面（北京市通州区牛牧屯零断面处），王家摆断面至北运河香河段末端土门楼断面之间，有凤港减河、小友垡干渠、秦营干渠三条支流汇入，有青龙湾河作为北运河分流。凤港减河由北京市通州区流入，其上游来水主要由凉水河、凤河等构成；秦营干渠为凤港减河分流，在北京界内分流后，南向流入天津市武清区，后向东汇入北运河；小友垡干渠是唯一全线位于香河县境内的北运河支流，该渠现作为香河县安平镇污水及雨水排水渠；青龙湾是北运河主要分流，后续汇入潮白河水系，该河段在香河县境内无水质监测断面。</w:t>
      </w:r>
    </w:p>
    <w:p>
      <w:pPr>
        <w:pStyle w:val="11"/>
        <w:autoSpaceDN w:val="0"/>
        <w:spacing w:line="590" w:lineRule="exact"/>
        <w:ind w:firstLine="608"/>
        <w:rPr>
          <w:rFonts w:eastAsia="仿宋_GB2312"/>
          <w:spacing w:val="-8"/>
          <w:sz w:val="32"/>
          <w:szCs w:val="32"/>
        </w:rPr>
      </w:pPr>
      <w:r>
        <w:rPr>
          <w:rFonts w:eastAsia="仿宋_GB2312"/>
          <w:spacing w:val="-8"/>
          <w:sz w:val="32"/>
          <w:szCs w:val="32"/>
        </w:rPr>
        <w:t>结合北运河香河段的汇水特征和水体控制断面分布情况，以土门楼断面以上汇水区为主要工作区域和不超越廊坊市行政边界为原则，确定方案修订的北运河水质达标保障区范围如下：西界、北界、南界考虑以不跨越行政分区为原则，定为北京市</w:t>
      </w:r>
      <w:r>
        <w:rPr>
          <w:rFonts w:hint="eastAsia" w:eastAsia="仿宋_GB2312"/>
          <w:sz w:val="32"/>
          <w:szCs w:val="32"/>
        </w:rPr>
        <w:t>-</w:t>
      </w:r>
      <w:r>
        <w:rPr>
          <w:rFonts w:eastAsia="仿宋_GB2312"/>
          <w:spacing w:val="-8"/>
          <w:sz w:val="32"/>
          <w:szCs w:val="32"/>
        </w:rPr>
        <w:t>河北省界，东界以香五西侧渠和北运河干流的分水岭为界（香五西侧渠在土门楼红庙闸以下汇入北运河，对本次工作范围水质无直接影响）。</w:t>
      </w:r>
    </w:p>
    <w:p>
      <w:pPr>
        <w:autoSpaceDN w:val="0"/>
        <w:spacing w:line="590" w:lineRule="exact"/>
        <w:ind w:firstLine="640"/>
        <w:rPr>
          <w:rFonts w:eastAsia="仿宋_GB2312" w:cs="Times New Roman"/>
          <w:sz w:val="32"/>
          <w:szCs w:val="32"/>
        </w:rPr>
      </w:pPr>
      <w:r>
        <w:rPr>
          <w:rFonts w:eastAsia="仿宋_GB2312" w:cs="Times New Roman"/>
          <w:sz w:val="32"/>
          <w:szCs w:val="32"/>
        </w:rPr>
        <w:t>从水质达标保障区范围来看，全面囊括了香河县境内的北运河干流及支流沿线汇水区，行政区划上由香河县安平镇全境、香河县钳屯乡局部及香河县淑阳镇局部组成。</w:t>
      </w:r>
    </w:p>
    <w:p>
      <w:pPr>
        <w:autoSpaceDN w:val="0"/>
        <w:spacing w:line="590" w:lineRule="exact"/>
        <w:ind w:firstLine="640"/>
        <w:rPr>
          <w:rFonts w:eastAsia="仿宋_GB2312" w:cs="Times New Roman"/>
          <w:sz w:val="32"/>
          <w:szCs w:val="32"/>
        </w:rPr>
      </w:pPr>
      <w:r>
        <w:rPr>
          <w:rFonts w:eastAsia="仿宋_GB2312" w:cs="Times New Roman"/>
          <w:sz w:val="32"/>
          <w:szCs w:val="32"/>
        </w:rPr>
        <w:t>本方案实施年限为2019</w:t>
      </w:r>
      <w:r>
        <w:rPr>
          <w:rFonts w:hint="eastAsia" w:eastAsia="仿宋_GB2312" w:cs="Times New Roman"/>
          <w:sz w:val="32"/>
          <w:szCs w:val="32"/>
        </w:rPr>
        <w:t>—</w:t>
      </w:r>
      <w:r>
        <w:rPr>
          <w:rFonts w:eastAsia="仿宋_GB2312" w:cs="Times New Roman"/>
          <w:sz w:val="32"/>
          <w:szCs w:val="32"/>
        </w:rPr>
        <w:t>2020年。</w:t>
      </w:r>
    </w:p>
    <w:p>
      <w:pPr>
        <w:pStyle w:val="3"/>
        <w:autoSpaceDN w:val="0"/>
        <w:snapToGrid w:val="0"/>
        <w:spacing w:line="590" w:lineRule="exact"/>
        <w:ind w:firstLine="643"/>
        <w:rPr>
          <w:rFonts w:eastAsia="楷体_GB2312"/>
          <w:bCs w:val="0"/>
        </w:rPr>
      </w:pPr>
      <w:bookmarkStart w:id="353" w:name="_Toc21720662"/>
      <w:r>
        <w:rPr>
          <w:rFonts w:eastAsia="楷体_GB2312"/>
          <w:bCs w:val="0"/>
        </w:rPr>
        <w:t>1.5治理目标</w:t>
      </w:r>
      <w:bookmarkEnd w:id="353"/>
    </w:p>
    <w:p>
      <w:pPr>
        <w:snapToGrid w:val="0"/>
        <w:spacing w:line="590" w:lineRule="exact"/>
        <w:ind w:firstLine="640"/>
        <w:rPr>
          <w:rFonts w:eastAsia="仿宋_GB2312" w:cs="Times New Roman"/>
          <w:sz w:val="32"/>
          <w:szCs w:val="32"/>
        </w:rPr>
      </w:pPr>
      <w:r>
        <w:rPr>
          <w:rFonts w:eastAsia="仿宋_GB2312" w:cs="Times New Roman"/>
          <w:sz w:val="32"/>
          <w:szCs w:val="32"/>
        </w:rPr>
        <w:t>到2019年，土门楼断面水质保持V类（氨氮≤4mg/L）；到2020年，土门楼断面水质保持或优于V类（氨氮≤4mg/L）。</w:t>
      </w:r>
    </w:p>
    <w:p>
      <w:pPr>
        <w:pStyle w:val="3"/>
        <w:autoSpaceDN w:val="0"/>
        <w:snapToGrid w:val="0"/>
        <w:spacing w:line="590" w:lineRule="exact"/>
        <w:ind w:firstLine="643"/>
        <w:rPr>
          <w:rFonts w:eastAsia="楷体_GB2312"/>
          <w:bCs w:val="0"/>
        </w:rPr>
      </w:pPr>
      <w:bookmarkStart w:id="354" w:name="_Toc21720663"/>
      <w:r>
        <w:rPr>
          <w:rFonts w:eastAsia="楷体_GB2312"/>
          <w:bCs w:val="0"/>
        </w:rPr>
        <w:t>1.6治理思路</w:t>
      </w:r>
      <w:bookmarkEnd w:id="354"/>
    </w:p>
    <w:p>
      <w:pPr>
        <w:autoSpaceDN w:val="0"/>
        <w:spacing w:line="590" w:lineRule="exact"/>
        <w:ind w:firstLine="640"/>
        <w:rPr>
          <w:rFonts w:eastAsia="仿宋_GB2312" w:cs="Times New Roman"/>
          <w:bCs/>
          <w:sz w:val="32"/>
          <w:szCs w:val="32"/>
        </w:rPr>
      </w:pPr>
      <w:r>
        <w:rPr>
          <w:rFonts w:eastAsia="仿宋_GB2312" w:cs="Times New Roman"/>
          <w:bCs/>
          <w:sz w:val="32"/>
          <w:szCs w:val="32"/>
        </w:rPr>
        <w:t>北运河香河段属于上游北京市城市排水自净河段，水环境主要受上游来水水质背景浓度影响，同时控制单元内城镇生活源、城镇面源、农村生活及农业种植源等多种污染源复合叠加，治理思路为</w:t>
      </w:r>
      <w:r>
        <w:rPr>
          <w:rFonts w:eastAsia="仿宋_GB2312" w:cs="Times New Roman"/>
          <w:sz w:val="32"/>
          <w:szCs w:val="32"/>
        </w:rPr>
        <w:t>以北运河</w:t>
      </w:r>
      <w:r>
        <w:rPr>
          <w:rFonts w:hint="eastAsia" w:eastAsia="仿宋_GB2312"/>
          <w:sz w:val="32"/>
          <w:szCs w:val="32"/>
        </w:rPr>
        <w:t>-</w:t>
      </w:r>
      <w:r>
        <w:rPr>
          <w:rFonts w:eastAsia="仿宋_GB2312" w:cs="Times New Roman"/>
          <w:sz w:val="32"/>
          <w:szCs w:val="32"/>
        </w:rPr>
        <w:t>潮白河沿线治理为主，</w:t>
      </w:r>
      <w:r>
        <w:rPr>
          <w:rFonts w:eastAsia="仿宋_GB2312" w:cs="Times New Roman"/>
          <w:bCs/>
          <w:sz w:val="32"/>
          <w:szCs w:val="32"/>
        </w:rPr>
        <w:t>落实</w:t>
      </w:r>
      <w:r>
        <w:rPr>
          <w:rFonts w:eastAsia="仿宋_GB2312" w:cs="Times New Roman"/>
          <w:sz w:val="32"/>
          <w:szCs w:val="32"/>
        </w:rPr>
        <w:t>以控制源头为主、削减负荷为重、生态恢复为辅的总体战略，</w:t>
      </w:r>
      <w:r>
        <w:rPr>
          <w:rFonts w:eastAsia="仿宋_GB2312" w:cs="Times New Roman"/>
          <w:kern w:val="44"/>
          <w:sz w:val="32"/>
          <w:szCs w:val="32"/>
        </w:rPr>
        <w:t>优先对城镇生活源和农村面源进行源头削减，</w:t>
      </w:r>
      <w:r>
        <w:rPr>
          <w:rFonts w:eastAsia="仿宋_GB2312" w:cs="Times New Roman"/>
          <w:sz w:val="32"/>
          <w:szCs w:val="32"/>
        </w:rPr>
        <w:t>形成县城内河水质提升及主要村落集镇污水治理相结合的综合保障体制，规避城区纳污内河或村落集镇污水携带污染物进入已治理的主要水体，杜绝已净化水体在下游区域发生水质二次恶化状况</w:t>
      </w:r>
      <w:r>
        <w:rPr>
          <w:rFonts w:hint="eastAsia" w:eastAsia="仿宋_GB2312" w:cs="Times New Roman"/>
          <w:sz w:val="32"/>
          <w:szCs w:val="32"/>
        </w:rPr>
        <w:t>。</w:t>
      </w:r>
      <w:r>
        <w:rPr>
          <w:rFonts w:eastAsia="仿宋_GB2312" w:cs="Times New Roman"/>
          <w:sz w:val="32"/>
          <w:szCs w:val="32"/>
        </w:rPr>
        <w:t>在此基础上，科学分析</w:t>
      </w:r>
      <w:r>
        <w:rPr>
          <w:rFonts w:eastAsia="仿宋_GB2312" w:cs="Times New Roman"/>
          <w:kern w:val="44"/>
          <w:sz w:val="32"/>
          <w:szCs w:val="32"/>
        </w:rPr>
        <w:t>污染物迁移转化规律变化情况，制定适宜的河道生态修复的水体治理措施，依托节点控制、末端控制形成综合污染治理措施，</w:t>
      </w:r>
      <w:r>
        <w:rPr>
          <w:rFonts w:eastAsia="仿宋_GB2312" w:cs="Times New Roman"/>
          <w:sz w:val="32"/>
          <w:szCs w:val="32"/>
        </w:rPr>
        <w:t>实现北运河上下游协同治理、整体达标。</w:t>
      </w:r>
    </w:p>
    <w:p>
      <w:pPr>
        <w:pStyle w:val="2"/>
        <w:autoSpaceDN w:val="0"/>
        <w:snapToGrid w:val="0"/>
        <w:spacing w:line="590" w:lineRule="exact"/>
        <w:ind w:firstLine="640"/>
        <w:rPr>
          <w:bCs w:val="0"/>
          <w:kern w:val="2"/>
          <w:szCs w:val="32"/>
        </w:rPr>
      </w:pPr>
      <w:bookmarkStart w:id="355" w:name="_Toc21720664"/>
      <w:r>
        <w:rPr>
          <w:bCs w:val="0"/>
          <w:kern w:val="2"/>
          <w:szCs w:val="32"/>
        </w:rPr>
        <w:t>二、流域概况</w:t>
      </w:r>
      <w:bookmarkEnd w:id="352"/>
      <w:bookmarkEnd w:id="355"/>
    </w:p>
    <w:p>
      <w:pPr>
        <w:pStyle w:val="3"/>
        <w:autoSpaceDN w:val="0"/>
        <w:snapToGrid w:val="0"/>
        <w:spacing w:line="590" w:lineRule="exact"/>
        <w:ind w:firstLine="643"/>
        <w:rPr>
          <w:rFonts w:eastAsia="楷体_GB2312"/>
          <w:bCs w:val="0"/>
        </w:rPr>
      </w:pPr>
      <w:bookmarkStart w:id="356" w:name="_Toc21720665"/>
      <w:bookmarkStart w:id="357" w:name="_Toc460430317"/>
      <w:r>
        <w:rPr>
          <w:rFonts w:eastAsia="楷体_GB2312"/>
          <w:bCs w:val="0"/>
        </w:rPr>
        <w:t>2.1自然环境</w:t>
      </w:r>
      <w:bookmarkEnd w:id="356"/>
      <w:bookmarkEnd w:id="357"/>
    </w:p>
    <w:p>
      <w:pPr>
        <w:pStyle w:val="4"/>
        <w:autoSpaceDN w:val="0"/>
        <w:snapToGrid w:val="0"/>
        <w:spacing w:line="590" w:lineRule="exact"/>
        <w:ind w:firstLine="643"/>
      </w:pPr>
      <w:bookmarkStart w:id="358" w:name="_Toc454455848"/>
      <w:bookmarkStart w:id="359" w:name="_Toc458373069"/>
      <w:bookmarkStart w:id="360" w:name="_Toc460430318"/>
      <w:bookmarkStart w:id="361" w:name="_Toc21720666"/>
      <w:r>
        <w:t>2.1.1河流水系</w:t>
      </w:r>
      <w:bookmarkEnd w:id="358"/>
      <w:bookmarkEnd w:id="359"/>
      <w:bookmarkEnd w:id="360"/>
      <w:bookmarkEnd w:id="361"/>
    </w:p>
    <w:p>
      <w:pPr>
        <w:pStyle w:val="11"/>
        <w:autoSpaceDN w:val="0"/>
        <w:snapToGrid w:val="0"/>
        <w:spacing w:line="590" w:lineRule="exact"/>
        <w:ind w:firstLine="640"/>
        <w:rPr>
          <w:rFonts w:eastAsia="仿宋_GB2312"/>
          <w:sz w:val="32"/>
          <w:szCs w:val="32"/>
        </w:rPr>
      </w:pPr>
      <w:bookmarkStart w:id="362" w:name="_Toc1339"/>
      <w:bookmarkStart w:id="363" w:name="_Toc460245338"/>
      <w:bookmarkStart w:id="364" w:name="_Toc31294"/>
      <w:r>
        <w:rPr>
          <w:rFonts w:eastAsia="仿宋_GB2312"/>
          <w:sz w:val="32"/>
          <w:szCs w:val="32"/>
        </w:rPr>
        <w:t>北运河是公元七世纪初隋朝人工开凿的南北大运河，当时是都城洛阳通往涿郡（北京）的永济渠的一部分，发源于北京市昌平区军都山居庸关附近。北运河位于永定、潮白两河之间，为海河流域北三河的主要水系之一，有大小支流数十条，通州区北关闸以上称温榆河，以下称北运河。北运河干流流经北京、河北及天津三省市，由廊坊市香河县安平镇鲁家务村西北进入廊坊市，到香河县五百户镇双街村南出境，于天津市武清区辛庄桥入子牙河，后汇入海河入海。</w:t>
      </w:r>
    </w:p>
    <w:p>
      <w:pPr>
        <w:pStyle w:val="11"/>
        <w:autoSpaceDN w:val="0"/>
        <w:snapToGrid w:val="0"/>
        <w:spacing w:line="590" w:lineRule="exact"/>
        <w:ind w:firstLine="640"/>
        <w:rPr>
          <w:rFonts w:eastAsia="仿宋_GB2312"/>
          <w:sz w:val="32"/>
          <w:szCs w:val="32"/>
        </w:rPr>
      </w:pPr>
      <w:r>
        <w:rPr>
          <w:rFonts w:eastAsia="仿宋_GB2312"/>
          <w:sz w:val="32"/>
          <w:szCs w:val="32"/>
        </w:rPr>
        <w:t>北运河干流全长142.7公里，流域面积6166平方公里，在廊坊辖区内长度为21.7公里，流域面积为282平方公里，涉及香河县9个乡镇。干流右岸有牛牧屯引河使其与潮白河相连，左岸有凤港减河、小友垡和凤港引渠汇入；下游由土门楼枢纽控制，土门楼泄洪闸下游为青龙湾减河</w:t>
      </w:r>
      <w:r>
        <w:rPr>
          <w:rFonts w:hint="eastAsia" w:eastAsia="仿宋_GB2312"/>
          <w:sz w:val="32"/>
          <w:szCs w:val="32"/>
        </w:rPr>
        <w:t>。</w:t>
      </w:r>
      <w:r>
        <w:rPr>
          <w:rFonts w:eastAsia="仿宋_GB2312"/>
          <w:sz w:val="32"/>
          <w:szCs w:val="32"/>
        </w:rPr>
        <w:t>土门楼节制闸（即木厂闸）以下仍为北运河干流，京冀界</w:t>
      </w:r>
      <w:r>
        <w:rPr>
          <w:rFonts w:hint="eastAsia" w:eastAsia="仿宋_GB2312"/>
          <w:sz w:val="32"/>
          <w:szCs w:val="32"/>
        </w:rPr>
        <w:t>-</w:t>
      </w:r>
      <w:r>
        <w:rPr>
          <w:rFonts w:eastAsia="仿宋_GB2312"/>
          <w:sz w:val="32"/>
          <w:szCs w:val="32"/>
        </w:rPr>
        <w:t>木厂闸段长15.0公里，木厂闸</w:t>
      </w:r>
      <w:r>
        <w:rPr>
          <w:rFonts w:hint="eastAsia" w:eastAsia="仿宋_GB2312"/>
          <w:sz w:val="32"/>
          <w:szCs w:val="32"/>
        </w:rPr>
        <w:t>-</w:t>
      </w:r>
      <w:r>
        <w:rPr>
          <w:rFonts w:eastAsia="仿宋_GB2312"/>
          <w:sz w:val="32"/>
          <w:szCs w:val="32"/>
        </w:rPr>
        <w:t>冀津界段长6.7公里。</w:t>
      </w:r>
    </w:p>
    <w:p>
      <w:pPr>
        <w:pStyle w:val="11"/>
        <w:autoSpaceDN w:val="0"/>
        <w:spacing w:line="590" w:lineRule="exact"/>
        <w:ind w:firstLine="640"/>
        <w:rPr>
          <w:rFonts w:eastAsia="仿宋_GB2312"/>
          <w:sz w:val="32"/>
          <w:szCs w:val="32"/>
        </w:rPr>
      </w:pPr>
      <w:r>
        <w:rPr>
          <w:rFonts w:eastAsia="仿宋_GB2312"/>
          <w:sz w:val="32"/>
          <w:szCs w:val="32"/>
        </w:rPr>
        <w:t>现状北运河香河段来水由北运河通州段及牛牧屯引河提供（王家摆断面），王家摆断面至土门楼断面之间，有凤港减河、小友垡干渠、秦营干渠三条支流汇入，有青龙湾河作为北运河分流。北运河香河段主要支流基本情况如下：</w:t>
      </w:r>
    </w:p>
    <w:p>
      <w:pPr>
        <w:pStyle w:val="11"/>
        <w:autoSpaceDN w:val="0"/>
        <w:snapToGrid w:val="0"/>
        <w:spacing w:line="590" w:lineRule="exact"/>
        <w:ind w:firstLine="640"/>
        <w:rPr>
          <w:rFonts w:eastAsia="仿宋_GB2312"/>
          <w:sz w:val="32"/>
          <w:szCs w:val="32"/>
        </w:rPr>
      </w:pPr>
      <w:r>
        <w:rPr>
          <w:rFonts w:hint="eastAsia" w:eastAsia="仿宋_GB2312"/>
          <w:sz w:val="32"/>
          <w:szCs w:val="32"/>
        </w:rPr>
        <w:t>（</w:t>
      </w:r>
      <w:r>
        <w:rPr>
          <w:rFonts w:eastAsia="仿宋_GB2312"/>
          <w:sz w:val="32"/>
          <w:szCs w:val="32"/>
        </w:rPr>
        <w:t>1）牛牧屯引河：位于北京通州区与香河县交界处，连接潮白、北运两河，由吴村枢纽（包括吴村节制闸和牛牧屯引河闸）控制，主要为潮白、北运两河进行调水，满足天津市供水及灌溉要求。河口至牛牧屯引河闸段长1.41公里。</w:t>
      </w:r>
    </w:p>
    <w:p>
      <w:pPr>
        <w:pStyle w:val="11"/>
        <w:autoSpaceDN w:val="0"/>
        <w:snapToGrid w:val="0"/>
        <w:spacing w:line="590" w:lineRule="exact"/>
        <w:ind w:firstLine="640"/>
        <w:rPr>
          <w:rFonts w:eastAsia="仿宋_GB2312"/>
          <w:sz w:val="32"/>
          <w:szCs w:val="32"/>
        </w:rPr>
      </w:pPr>
      <w:r>
        <w:rPr>
          <w:rFonts w:hint="eastAsia" w:eastAsia="仿宋_GB2312"/>
          <w:sz w:val="32"/>
          <w:szCs w:val="32"/>
        </w:rPr>
        <w:t>（</w:t>
      </w:r>
      <w:r>
        <w:rPr>
          <w:rFonts w:eastAsia="仿宋_GB2312"/>
          <w:sz w:val="32"/>
          <w:szCs w:val="32"/>
        </w:rPr>
        <w:t>2）凤港减河：20世纪60年代人工开凿的防洪灌溉渠，因连接凤河与港沟河而得名，主体河道位于北京市，沿线多城市在建区及农村聚居地，水源于北京市凉水河。全河分两段，西段由老观里至南丁庄，1960年竣工；东段由军屯至王家摆，1962年汛前完工。全长41公里，流域面积223平方公里，其中河北省廊坊境内长2.2公里。</w:t>
      </w:r>
    </w:p>
    <w:p>
      <w:pPr>
        <w:pStyle w:val="11"/>
        <w:autoSpaceDN w:val="0"/>
        <w:snapToGrid w:val="0"/>
        <w:spacing w:line="590" w:lineRule="exact"/>
        <w:ind w:firstLine="640"/>
        <w:rPr>
          <w:rFonts w:eastAsia="仿宋_GB2312"/>
          <w:sz w:val="32"/>
          <w:szCs w:val="32"/>
        </w:rPr>
      </w:pPr>
      <w:r>
        <w:rPr>
          <w:rFonts w:hint="eastAsia" w:eastAsia="仿宋_GB2312"/>
          <w:sz w:val="32"/>
          <w:szCs w:val="32"/>
        </w:rPr>
        <w:t>（</w:t>
      </w:r>
      <w:r>
        <w:rPr>
          <w:rFonts w:eastAsia="仿宋_GB2312"/>
          <w:sz w:val="32"/>
          <w:szCs w:val="32"/>
        </w:rPr>
        <w:t>3）小友垡排干渠：源于香河县境内安平镇的排水渠，主要起污水厂尾水排放及局部泄洪作用。由于安平镇排水量较小，除汛期外小友垡排干渠水量较小。</w:t>
      </w:r>
    </w:p>
    <w:p>
      <w:pPr>
        <w:pStyle w:val="11"/>
        <w:autoSpaceDN w:val="0"/>
        <w:snapToGrid w:val="0"/>
        <w:spacing w:line="590" w:lineRule="exact"/>
        <w:ind w:firstLine="640"/>
        <w:rPr>
          <w:rFonts w:eastAsia="仿宋_GB2312"/>
          <w:sz w:val="32"/>
          <w:szCs w:val="32"/>
        </w:rPr>
      </w:pPr>
      <w:r>
        <w:rPr>
          <w:rFonts w:hint="eastAsia" w:eastAsia="仿宋_GB2312"/>
          <w:sz w:val="32"/>
          <w:szCs w:val="32"/>
        </w:rPr>
        <w:t>（</w:t>
      </w:r>
      <w:r>
        <w:rPr>
          <w:rFonts w:eastAsia="仿宋_GB2312"/>
          <w:sz w:val="32"/>
          <w:szCs w:val="32"/>
        </w:rPr>
        <w:t>4）青龙湾减河：为北运河主要泄洪尾闾，上起土门楼泄洪闸，下至里自沽入潮白新河，河道全长52公里，其中河北省香河县境内长18.2公里。</w:t>
      </w:r>
    </w:p>
    <w:p>
      <w:pPr>
        <w:pStyle w:val="11"/>
        <w:autoSpaceDN w:val="0"/>
        <w:snapToGrid w:val="0"/>
        <w:spacing w:line="590" w:lineRule="exact"/>
        <w:ind w:firstLine="640"/>
        <w:rPr>
          <w:rFonts w:eastAsia="仿宋_GB2312"/>
          <w:sz w:val="32"/>
          <w:szCs w:val="32"/>
        </w:rPr>
      </w:pPr>
      <w:r>
        <w:rPr>
          <w:rFonts w:hint="eastAsia" w:eastAsia="仿宋_GB2312"/>
          <w:sz w:val="32"/>
          <w:szCs w:val="32"/>
        </w:rPr>
        <w:t>（</w:t>
      </w:r>
      <w:r>
        <w:rPr>
          <w:rFonts w:eastAsia="仿宋_GB2312"/>
          <w:sz w:val="32"/>
          <w:szCs w:val="32"/>
        </w:rPr>
        <w:t>5）秦营干渠（凤港引渠）：由凤港减河分流出的农用灌溉渠，兼顾局部防洪泄洪功能。</w:t>
      </w:r>
    </w:p>
    <w:p>
      <w:pPr>
        <w:pStyle w:val="11"/>
        <w:autoSpaceDN w:val="0"/>
        <w:spacing w:after="72" w:afterLines="30" w:line="590" w:lineRule="exact"/>
        <w:ind w:firstLine="640"/>
        <w:rPr>
          <w:rFonts w:eastAsia="仿宋_GB2312"/>
          <w:sz w:val="32"/>
          <w:szCs w:val="32"/>
        </w:rPr>
      </w:pPr>
      <w:r>
        <w:rPr>
          <w:rFonts w:eastAsia="仿宋_GB2312"/>
          <w:sz w:val="32"/>
          <w:szCs w:val="32"/>
        </w:rPr>
        <w:t>因此，总体来看北运河区域汇水区可分为北运河凤港减河沿线汇流区、小友垡汇水区和秦营干渠沿线汇水区。其中，北运河、凤港减河沿线汇流区主要沿河道两侧东西向延伸，跨越行政边界；小友垡汇水区基本位于香河县界内，属于非跨界汇水区；秦营干渠沿线汇水区基本不位于香河县界内，但受纳水体及考核断面位于香河县界内。</w:t>
      </w:r>
    </w:p>
    <w:p>
      <w:pPr>
        <w:pStyle w:val="11"/>
        <w:autoSpaceDN w:val="0"/>
        <w:spacing w:line="240" w:lineRule="auto"/>
        <w:ind w:firstLine="0" w:firstLineChars="0"/>
        <w:jc w:val="center"/>
        <w:rPr>
          <w:rFonts w:eastAsia="仿宋_GB2312"/>
          <w:sz w:val="32"/>
          <w:szCs w:val="32"/>
        </w:rPr>
      </w:pPr>
      <w:r>
        <w:drawing>
          <wp:inline distT="0" distB="0" distL="114300" distR="114300">
            <wp:extent cx="5400675" cy="5223510"/>
            <wp:effectExtent l="0" t="0" r="9525" b="15240"/>
            <wp:docPr id="5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9"/>
                    <pic:cNvPicPr>
                      <a:picLocks noChangeAspect="1"/>
                    </pic:cNvPicPr>
                  </pic:nvPicPr>
                  <pic:blipFill>
                    <a:blip r:embed="rId37"/>
                    <a:stretch>
                      <a:fillRect/>
                    </a:stretch>
                  </pic:blipFill>
                  <pic:spPr>
                    <a:xfrm>
                      <a:off x="0" y="0"/>
                      <a:ext cx="5400675" cy="5223510"/>
                    </a:xfrm>
                    <a:prstGeom prst="rect">
                      <a:avLst/>
                    </a:prstGeom>
                    <a:noFill/>
                    <a:ln w="9525">
                      <a:noFill/>
                    </a:ln>
                  </pic:spPr>
                </pic:pic>
              </a:graphicData>
            </a:graphic>
          </wp:inline>
        </w:drawing>
      </w:r>
    </w:p>
    <w:p>
      <w:pPr>
        <w:pStyle w:val="11"/>
        <w:autoSpaceDN w:val="0"/>
        <w:spacing w:before="120" w:beforeLines="50" w:after="120" w:afterLines="50" w:line="240" w:lineRule="auto"/>
        <w:ind w:firstLine="0" w:firstLineChars="0"/>
        <w:jc w:val="center"/>
        <w:rPr>
          <w:rFonts w:eastAsia="仿宋_GB2312"/>
          <w:szCs w:val="28"/>
        </w:rPr>
      </w:pPr>
      <w:r>
        <w:rPr>
          <w:rFonts w:eastAsia="仿宋_GB2312"/>
          <w:b/>
          <w:bCs/>
          <w:szCs w:val="28"/>
        </w:rPr>
        <w:t>图2</w:t>
      </w:r>
      <w:r>
        <w:rPr>
          <w:rFonts w:hint="eastAsia" w:eastAsia="仿宋_GB2312"/>
        </w:rPr>
        <w:t>-</w:t>
      </w:r>
      <w:r>
        <w:rPr>
          <w:rFonts w:eastAsia="仿宋_GB2312"/>
          <w:b/>
          <w:bCs/>
          <w:szCs w:val="28"/>
        </w:rPr>
        <w:t>1　北运河行政区划及水系概况</w:t>
      </w:r>
    </w:p>
    <w:p>
      <w:pPr>
        <w:pStyle w:val="4"/>
        <w:autoSpaceDN w:val="0"/>
        <w:snapToGrid w:val="0"/>
        <w:spacing w:line="576" w:lineRule="exact"/>
        <w:ind w:firstLine="643"/>
      </w:pPr>
      <w:bookmarkStart w:id="365" w:name="_Toc460245341"/>
      <w:bookmarkStart w:id="366" w:name="_Toc21720667"/>
      <w:bookmarkStart w:id="367" w:name="_Toc460430319"/>
      <w:bookmarkStart w:id="368" w:name="_Toc454455849"/>
      <w:bookmarkStart w:id="369" w:name="_Toc458373070"/>
      <w:r>
        <w:t>2.1.2水文</w:t>
      </w:r>
      <w:bookmarkEnd w:id="365"/>
      <w:r>
        <w:t>水情</w:t>
      </w:r>
      <w:bookmarkEnd w:id="366"/>
    </w:p>
    <w:p>
      <w:pPr>
        <w:pStyle w:val="11"/>
        <w:autoSpaceDN w:val="0"/>
        <w:snapToGrid w:val="0"/>
        <w:spacing w:line="576" w:lineRule="exact"/>
        <w:ind w:firstLine="640"/>
        <w:rPr>
          <w:rFonts w:eastAsia="仿宋_GB2312"/>
          <w:sz w:val="32"/>
          <w:szCs w:val="32"/>
        </w:rPr>
      </w:pPr>
      <w:r>
        <w:rPr>
          <w:rFonts w:eastAsia="仿宋_GB2312"/>
          <w:sz w:val="32"/>
          <w:szCs w:val="32"/>
        </w:rPr>
        <w:t>北运河为香河县过境河流，其干流及支流凤港减河、秦营干渠（凤港引渠）均为北京</w:t>
      </w:r>
      <w:r>
        <w:rPr>
          <w:rFonts w:hint="eastAsia" w:eastAsia="仿宋_GB2312"/>
          <w:sz w:val="32"/>
          <w:szCs w:val="32"/>
        </w:rPr>
        <w:t>市</w:t>
      </w:r>
      <w:r>
        <w:rPr>
          <w:rFonts w:eastAsia="仿宋_GB2312"/>
          <w:sz w:val="32"/>
          <w:szCs w:val="32"/>
        </w:rPr>
        <w:t>通州区来水，约占总过境水量90%，上游来水污染情况较重，对北运河香河段水质提升造成极大影响。</w:t>
      </w:r>
    </w:p>
    <w:p>
      <w:pPr>
        <w:pStyle w:val="11"/>
        <w:autoSpaceDN w:val="0"/>
        <w:snapToGrid w:val="0"/>
        <w:spacing w:line="576" w:lineRule="exact"/>
        <w:ind w:firstLine="640"/>
        <w:rPr>
          <w:rFonts w:eastAsia="仿宋_GB2312"/>
          <w:sz w:val="32"/>
          <w:szCs w:val="32"/>
        </w:rPr>
      </w:pPr>
      <w:r>
        <w:rPr>
          <w:rFonts w:eastAsia="仿宋_GB2312"/>
          <w:sz w:val="32"/>
          <w:szCs w:val="32"/>
        </w:rPr>
        <w:t>北运河干流自原北关闸以下有通惠河、凉水河汇入；至牛牧屯引河，通过牛牧屯引河与潮白河相通；下游有凤港减河汇入；至土门楼分成两支，一支为旁流</w:t>
      </w:r>
      <w:r>
        <w:rPr>
          <w:rFonts w:hint="eastAsia" w:eastAsia="仿宋_GB2312"/>
          <w:sz w:val="32"/>
          <w:szCs w:val="32"/>
        </w:rPr>
        <w:t>-</w:t>
      </w:r>
      <w:r>
        <w:rPr>
          <w:rFonts w:eastAsia="仿宋_GB2312"/>
          <w:sz w:val="32"/>
          <w:szCs w:val="32"/>
        </w:rPr>
        <w:t>青龙湾减河，后与潮白新河相通，最终汇入潮白河水系；一支为北运河</w:t>
      </w:r>
      <w:r>
        <w:rPr>
          <w:rFonts w:hint="eastAsia" w:eastAsia="仿宋_GB2312"/>
          <w:sz w:val="32"/>
          <w:szCs w:val="32"/>
        </w:rPr>
        <w:t>-</w:t>
      </w:r>
      <w:r>
        <w:rPr>
          <w:rFonts w:eastAsia="仿宋_GB2312"/>
          <w:sz w:val="32"/>
          <w:szCs w:val="32"/>
        </w:rPr>
        <w:t>大运河段，至筐儿港枢纽与北京排污河相交后又分成两支，一支为北京排污河最终汇入永定新河，一支为北运河干流，至屈家店枢纽与永定新河相交。干流河道上建有北关闸、榆林庄闸、杨洼闸、木厂闸、屈家店节制闸以及筐儿港枢纽，并建有甘棠、曹店、蒙村、南菜村、前进道5座橡胶坝。</w:t>
      </w:r>
    </w:p>
    <w:p>
      <w:pPr>
        <w:pStyle w:val="11"/>
        <w:autoSpaceDN w:val="0"/>
        <w:snapToGrid w:val="0"/>
        <w:spacing w:line="576" w:lineRule="exact"/>
        <w:ind w:firstLine="624"/>
        <w:rPr>
          <w:rFonts w:eastAsia="仿宋_GB2312"/>
          <w:spacing w:val="-4"/>
          <w:sz w:val="32"/>
          <w:szCs w:val="32"/>
        </w:rPr>
      </w:pPr>
      <w:r>
        <w:rPr>
          <w:rFonts w:eastAsia="仿宋_GB2312"/>
          <w:spacing w:val="-4"/>
          <w:sz w:val="32"/>
          <w:szCs w:val="32"/>
        </w:rPr>
        <w:t>北运河杨洼闸</w:t>
      </w:r>
      <w:r>
        <w:rPr>
          <w:rFonts w:hint="eastAsia" w:eastAsia="仿宋_GB2312"/>
          <w:sz w:val="32"/>
          <w:szCs w:val="32"/>
        </w:rPr>
        <w:t>-</w:t>
      </w:r>
      <w:r>
        <w:rPr>
          <w:rFonts w:eastAsia="仿宋_GB2312"/>
          <w:spacing w:val="-4"/>
          <w:sz w:val="32"/>
          <w:szCs w:val="32"/>
        </w:rPr>
        <w:t>木厂闸段为本方案主要工作区域，该段堤内有村庄6个（其中西岸5个，东岸1个），水利控制设施4处，分别为：</w:t>
      </w:r>
    </w:p>
    <w:p>
      <w:pPr>
        <w:pStyle w:val="11"/>
        <w:autoSpaceDN w:val="0"/>
        <w:snapToGrid w:val="0"/>
        <w:spacing w:line="576" w:lineRule="exact"/>
        <w:ind w:firstLine="640"/>
        <w:rPr>
          <w:rFonts w:eastAsia="仿宋_GB2312"/>
          <w:sz w:val="32"/>
          <w:szCs w:val="32"/>
        </w:rPr>
      </w:pPr>
      <w:r>
        <w:rPr>
          <w:rFonts w:hint="eastAsia" w:eastAsia="仿宋_GB2312"/>
          <w:sz w:val="32"/>
          <w:szCs w:val="32"/>
        </w:rPr>
        <w:t>（</w:t>
      </w:r>
      <w:r>
        <w:rPr>
          <w:rFonts w:eastAsia="仿宋_GB2312"/>
          <w:sz w:val="32"/>
          <w:szCs w:val="32"/>
        </w:rPr>
        <w:t>1）杨洼闸：位于北运河干流北京通州区与香河县交界处，负责调节上游来水，控制行洪。</w:t>
      </w:r>
    </w:p>
    <w:p>
      <w:pPr>
        <w:pStyle w:val="11"/>
        <w:autoSpaceDN w:val="0"/>
        <w:snapToGrid w:val="0"/>
        <w:spacing w:line="576" w:lineRule="exact"/>
        <w:ind w:firstLine="640"/>
        <w:rPr>
          <w:rFonts w:eastAsia="仿宋_GB2312"/>
          <w:sz w:val="32"/>
          <w:szCs w:val="32"/>
        </w:rPr>
      </w:pPr>
      <w:r>
        <w:rPr>
          <w:rFonts w:hint="eastAsia" w:eastAsia="仿宋_GB2312"/>
          <w:sz w:val="32"/>
          <w:szCs w:val="32"/>
        </w:rPr>
        <w:t>（</w:t>
      </w:r>
      <w:r>
        <w:rPr>
          <w:rFonts w:eastAsia="仿宋_GB2312"/>
          <w:sz w:val="32"/>
          <w:szCs w:val="32"/>
        </w:rPr>
        <w:t>2）牛牧屯引河闸：连接潮白、北运两河，通过吴村枢纽（包括吴村节制闸和牛牧屯引河闸）控制，主要为潮白、北运两河进行调水，满足天津市供水及灌溉要求。</w:t>
      </w:r>
    </w:p>
    <w:p>
      <w:pPr>
        <w:pStyle w:val="11"/>
        <w:autoSpaceDN w:val="0"/>
        <w:snapToGrid w:val="0"/>
        <w:spacing w:line="576" w:lineRule="exact"/>
        <w:ind w:firstLine="640"/>
        <w:rPr>
          <w:rFonts w:eastAsia="仿宋_GB2312"/>
          <w:sz w:val="32"/>
          <w:szCs w:val="32"/>
        </w:rPr>
      </w:pPr>
      <w:r>
        <w:rPr>
          <w:rFonts w:hint="eastAsia" w:eastAsia="仿宋_GB2312"/>
          <w:sz w:val="32"/>
          <w:szCs w:val="32"/>
        </w:rPr>
        <w:t>（</w:t>
      </w:r>
      <w:r>
        <w:rPr>
          <w:rFonts w:eastAsia="仿宋_GB2312"/>
          <w:sz w:val="32"/>
          <w:szCs w:val="32"/>
        </w:rPr>
        <w:t>3）曹店橡胶坝：位于老夏安桥下游，调节北运河干流水流速，削减洪峰等作用。</w:t>
      </w:r>
    </w:p>
    <w:p>
      <w:pPr>
        <w:pStyle w:val="11"/>
        <w:autoSpaceDN w:val="0"/>
        <w:snapToGrid w:val="0"/>
        <w:spacing w:line="584" w:lineRule="exact"/>
        <w:ind w:firstLine="640"/>
        <w:rPr>
          <w:rFonts w:eastAsia="仿宋_GB2312"/>
          <w:sz w:val="32"/>
          <w:szCs w:val="32"/>
        </w:rPr>
      </w:pPr>
      <w:r>
        <w:rPr>
          <w:rFonts w:hint="eastAsia" w:eastAsia="仿宋_GB2312"/>
          <w:sz w:val="32"/>
          <w:szCs w:val="32"/>
        </w:rPr>
        <w:t>（</w:t>
      </w:r>
      <w:r>
        <w:rPr>
          <w:rFonts w:eastAsia="仿宋_GB2312"/>
          <w:sz w:val="32"/>
          <w:szCs w:val="32"/>
        </w:rPr>
        <w:t>4）土门楼枢纽：包括土门楼闸和木厂闸，木厂闸为北运河干流节制闸，土门楼闸下游为青龙湾减河。土门楼枢纽主要控制水量，为天津市供水及灌溉提供便利。</w:t>
      </w:r>
    </w:p>
    <w:p>
      <w:pPr>
        <w:pStyle w:val="11"/>
        <w:autoSpaceDN w:val="0"/>
        <w:snapToGrid w:val="0"/>
        <w:spacing w:line="584" w:lineRule="exact"/>
        <w:ind w:firstLine="640"/>
        <w:rPr>
          <w:rFonts w:eastAsia="仿宋_GB2312"/>
          <w:sz w:val="32"/>
          <w:szCs w:val="32"/>
        </w:rPr>
      </w:pPr>
      <w:r>
        <w:rPr>
          <w:rFonts w:eastAsia="仿宋_GB2312"/>
          <w:sz w:val="32"/>
          <w:szCs w:val="32"/>
        </w:rPr>
        <w:t>水质考核入境断面位为曹店橡胶坝附近，水质考核出境断面位于木厂闸附近。</w:t>
      </w:r>
    </w:p>
    <w:p>
      <w:pPr>
        <w:pStyle w:val="11"/>
        <w:autoSpaceDN w:val="0"/>
        <w:snapToGrid w:val="0"/>
        <w:spacing w:line="584" w:lineRule="exact"/>
        <w:ind w:firstLine="640"/>
        <w:rPr>
          <w:rFonts w:eastAsia="仿宋_GB2312"/>
          <w:sz w:val="32"/>
          <w:szCs w:val="32"/>
        </w:rPr>
      </w:pPr>
      <w:r>
        <w:rPr>
          <w:rFonts w:eastAsia="仿宋_GB2312"/>
          <w:sz w:val="32"/>
          <w:szCs w:val="32"/>
        </w:rPr>
        <w:t>目前，北运河杨洼闸</w:t>
      </w:r>
      <w:r>
        <w:rPr>
          <w:rFonts w:hint="eastAsia" w:eastAsia="仿宋_GB2312"/>
          <w:sz w:val="32"/>
          <w:szCs w:val="32"/>
        </w:rPr>
        <w:t>-</w:t>
      </w:r>
      <w:r>
        <w:rPr>
          <w:rFonts w:eastAsia="仿宋_GB2312"/>
          <w:sz w:val="32"/>
          <w:szCs w:val="32"/>
        </w:rPr>
        <w:t>木厂闸段有土门楼站1个主要水文监测站，分为青龙湾减河断面、北运河断面2个测流断面，实际流量将两断面径流合计进行分析。根据1964</w:t>
      </w:r>
      <w:r>
        <w:rPr>
          <w:rFonts w:hint="eastAsia" w:eastAsia="仿宋_GB2312"/>
          <w:sz w:val="32"/>
          <w:szCs w:val="32"/>
        </w:rPr>
        <w:t>—</w:t>
      </w:r>
      <w:r>
        <w:rPr>
          <w:rFonts w:eastAsia="仿宋_GB2312"/>
          <w:sz w:val="32"/>
          <w:szCs w:val="32"/>
        </w:rPr>
        <w:t>2009年共46年实测资料统计，土门楼多年平均径流量为6.84亿立方米，最大年径流量为18.73亿立方米（1970年），最小年径流量为0.82亿立方米（2002年）。2011</w:t>
      </w:r>
      <w:r>
        <w:rPr>
          <w:rFonts w:hint="eastAsia" w:eastAsia="仿宋_GB2312"/>
          <w:sz w:val="32"/>
          <w:szCs w:val="32"/>
        </w:rPr>
        <w:t>—</w:t>
      </w:r>
      <w:r>
        <w:rPr>
          <w:rFonts w:eastAsia="仿宋_GB2312"/>
          <w:sz w:val="32"/>
          <w:szCs w:val="32"/>
        </w:rPr>
        <w:t>2015年平均实测径流量为11.71亿立方米。</w:t>
      </w:r>
    </w:p>
    <w:p>
      <w:pPr>
        <w:autoSpaceDN w:val="0"/>
        <w:spacing w:before="240" w:beforeLines="100" w:after="240" w:afterLines="100" w:line="240" w:lineRule="auto"/>
        <w:ind w:firstLine="640"/>
        <w:jc w:val="center"/>
        <w:rPr>
          <w:rFonts w:ascii="黑体" w:hAnsi="黑体" w:eastAsia="黑体" w:cs="Times New Roman"/>
          <w:bCs/>
          <w:sz w:val="32"/>
          <w:szCs w:val="32"/>
        </w:rPr>
      </w:pPr>
      <w:r>
        <w:rPr>
          <w:rFonts w:ascii="黑体" w:hAnsi="黑体" w:eastAsia="黑体" w:cs="Times New Roman"/>
          <w:bCs/>
          <w:sz w:val="32"/>
          <w:szCs w:val="32"/>
        </w:rPr>
        <w:t>表2</w:t>
      </w:r>
      <w:r>
        <w:rPr>
          <w:rFonts w:hint="eastAsia" w:eastAsia="仿宋_GB2312"/>
          <w:sz w:val="32"/>
          <w:szCs w:val="32"/>
        </w:rPr>
        <w:t>-</w:t>
      </w:r>
      <w:r>
        <w:rPr>
          <w:rFonts w:ascii="黑体" w:hAnsi="黑体" w:eastAsia="黑体" w:cs="Times New Roman"/>
          <w:bCs/>
          <w:sz w:val="32"/>
          <w:szCs w:val="32"/>
        </w:rPr>
        <w:t>1　北运河主要水文监测断面月均径流</w:t>
      </w:r>
    </w:p>
    <w:tbl>
      <w:tblPr>
        <w:tblStyle w:val="9"/>
        <w:tblW w:w="8761" w:type="dxa"/>
        <w:jc w:val="center"/>
        <w:tblInd w:w="-76" w:type="dxa"/>
        <w:tblLayout w:type="fixed"/>
        <w:tblCellMar>
          <w:top w:w="0" w:type="dxa"/>
          <w:left w:w="108" w:type="dxa"/>
          <w:bottom w:w="0" w:type="dxa"/>
          <w:right w:w="108" w:type="dxa"/>
        </w:tblCellMar>
      </w:tblPr>
      <w:tblGrid>
        <w:gridCol w:w="484"/>
        <w:gridCol w:w="758"/>
        <w:gridCol w:w="476"/>
        <w:gridCol w:w="478"/>
        <w:gridCol w:w="478"/>
        <w:gridCol w:w="588"/>
        <w:gridCol w:w="588"/>
        <w:gridCol w:w="588"/>
        <w:gridCol w:w="588"/>
        <w:gridCol w:w="588"/>
        <w:gridCol w:w="588"/>
        <w:gridCol w:w="588"/>
        <w:gridCol w:w="478"/>
        <w:gridCol w:w="811"/>
        <w:gridCol w:w="682"/>
      </w:tblGrid>
      <w:tr>
        <w:tblPrEx>
          <w:tblLayout w:type="fixed"/>
          <w:tblCellMar>
            <w:top w:w="0" w:type="dxa"/>
            <w:left w:w="108" w:type="dxa"/>
            <w:bottom w:w="0" w:type="dxa"/>
            <w:right w:w="108" w:type="dxa"/>
          </w:tblCellMar>
        </w:tblPrEx>
        <w:trPr>
          <w:trHeight w:val="551" w:hRule="atLeast"/>
          <w:jc w:val="center"/>
        </w:trPr>
        <w:tc>
          <w:tcPr>
            <w:tcW w:w="484" w:type="dxa"/>
            <w:vMerge w:val="restart"/>
            <w:tcBorders>
              <w:top w:val="single" w:color="auto" w:sz="8" w:space="0"/>
              <w:left w:val="single" w:color="auto" w:sz="8" w:space="0"/>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年份</w:t>
            </w:r>
          </w:p>
        </w:tc>
        <w:tc>
          <w:tcPr>
            <w:tcW w:w="758" w:type="dxa"/>
            <w:vMerge w:val="restart"/>
            <w:tcBorders>
              <w:top w:val="single" w:color="auto" w:sz="8" w:space="0"/>
              <w:left w:val="single" w:color="auto" w:sz="4" w:space="0"/>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站名</w:t>
            </w:r>
          </w:p>
        </w:tc>
        <w:tc>
          <w:tcPr>
            <w:tcW w:w="6837" w:type="dxa"/>
            <w:gridSpan w:val="12"/>
            <w:tcBorders>
              <w:top w:val="single" w:color="auto" w:sz="8" w:space="0"/>
              <w:left w:val="single" w:color="auto" w:sz="4" w:space="0"/>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月平均流量（m</w:t>
            </w:r>
            <w:r>
              <w:rPr>
                <w:rFonts w:eastAsia="仿宋_GB2312" w:cs="Times New Roman"/>
                <w:b/>
                <w:kern w:val="0"/>
                <w:sz w:val="21"/>
                <w:szCs w:val="21"/>
                <w:vertAlign w:val="superscript"/>
              </w:rPr>
              <w:t>3</w:t>
            </w:r>
            <w:r>
              <w:rPr>
                <w:rFonts w:eastAsia="仿宋_GB2312" w:cs="Times New Roman"/>
                <w:b/>
                <w:kern w:val="0"/>
                <w:sz w:val="21"/>
                <w:szCs w:val="21"/>
              </w:rPr>
              <w:t>/s）</w:t>
            </w:r>
          </w:p>
        </w:tc>
        <w:tc>
          <w:tcPr>
            <w:tcW w:w="682" w:type="dxa"/>
            <w:vMerge w:val="restart"/>
            <w:tcBorders>
              <w:top w:val="single" w:color="auto" w:sz="8" w:space="0"/>
              <w:left w:val="single" w:color="auto" w:sz="4" w:space="0"/>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hint="eastAsia" w:eastAsia="仿宋_GB2312" w:cs="Times New Roman"/>
                <w:b/>
                <w:kern w:val="0"/>
                <w:sz w:val="21"/>
                <w:szCs w:val="21"/>
              </w:rPr>
            </w:pPr>
            <w:r>
              <w:rPr>
                <w:rFonts w:eastAsia="仿宋_GB2312" w:cs="Times New Roman"/>
                <w:b/>
                <w:kern w:val="0"/>
                <w:sz w:val="21"/>
                <w:szCs w:val="21"/>
              </w:rPr>
              <w:t>年均</w:t>
            </w:r>
          </w:p>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流量（m</w:t>
            </w:r>
            <w:r>
              <w:rPr>
                <w:rFonts w:eastAsia="仿宋_GB2312" w:cs="Times New Roman"/>
                <w:b/>
                <w:kern w:val="0"/>
                <w:sz w:val="21"/>
                <w:szCs w:val="21"/>
                <w:vertAlign w:val="superscript"/>
              </w:rPr>
              <w:t>3</w:t>
            </w:r>
            <w:r>
              <w:rPr>
                <w:rFonts w:eastAsia="仿宋_GB2312" w:cs="Times New Roman"/>
                <w:b/>
                <w:kern w:val="0"/>
                <w:sz w:val="21"/>
                <w:szCs w:val="21"/>
              </w:rPr>
              <w:t>/s）</w:t>
            </w:r>
          </w:p>
        </w:tc>
      </w:tr>
      <w:tr>
        <w:tblPrEx>
          <w:tblLayout w:type="fixed"/>
          <w:tblCellMar>
            <w:top w:w="0" w:type="dxa"/>
            <w:left w:w="108" w:type="dxa"/>
            <w:bottom w:w="0" w:type="dxa"/>
            <w:right w:w="108" w:type="dxa"/>
          </w:tblCellMar>
        </w:tblPrEx>
        <w:trPr>
          <w:trHeight w:val="593" w:hRule="atLeast"/>
          <w:jc w:val="center"/>
        </w:trPr>
        <w:tc>
          <w:tcPr>
            <w:tcW w:w="484" w:type="dxa"/>
            <w:vMerge w:val="continue"/>
            <w:tcBorders>
              <w:top w:val="single" w:color="auto" w:sz="8" w:space="0"/>
              <w:left w:val="single" w:color="auto" w:sz="8" w:space="0"/>
              <w:bottom w:val="single" w:color="auto" w:sz="4" w:space="0"/>
              <w:right w:val="single" w:color="auto" w:sz="4" w:space="0"/>
            </w:tcBorders>
            <w:tcMar>
              <w:left w:w="6" w:type="dxa"/>
              <w:right w:w="6" w:type="dxa"/>
            </w:tcMar>
            <w:vAlign w:val="center"/>
          </w:tcPr>
          <w:p>
            <w:pPr>
              <w:snapToGrid w:val="0"/>
              <w:spacing w:line="240" w:lineRule="auto"/>
              <w:ind w:firstLine="0" w:firstLineChars="0"/>
              <w:jc w:val="center"/>
              <w:rPr>
                <w:rFonts w:eastAsia="仿宋_GB2312" w:cs="Times New Roman"/>
                <w:b/>
                <w:color w:val="000000"/>
                <w:kern w:val="0"/>
                <w:sz w:val="21"/>
                <w:szCs w:val="21"/>
              </w:rPr>
            </w:pPr>
          </w:p>
        </w:tc>
        <w:tc>
          <w:tcPr>
            <w:tcW w:w="758" w:type="dxa"/>
            <w:vMerge w:val="continue"/>
            <w:tcBorders>
              <w:top w:val="single" w:color="auto" w:sz="8" w:space="0"/>
              <w:left w:val="single" w:color="auto" w:sz="4" w:space="0"/>
              <w:bottom w:val="single" w:color="auto" w:sz="4" w:space="0"/>
              <w:right w:val="single" w:color="auto" w:sz="4" w:space="0"/>
            </w:tcBorders>
            <w:tcMar>
              <w:left w:w="6" w:type="dxa"/>
              <w:right w:w="6" w:type="dxa"/>
            </w:tcMar>
            <w:vAlign w:val="center"/>
          </w:tcPr>
          <w:p>
            <w:pPr>
              <w:snapToGrid w:val="0"/>
              <w:spacing w:line="240" w:lineRule="auto"/>
              <w:ind w:firstLine="0" w:firstLineChars="0"/>
              <w:jc w:val="center"/>
              <w:rPr>
                <w:rFonts w:eastAsia="仿宋_GB2312" w:cs="Times New Roman"/>
                <w:b/>
                <w:kern w:val="0"/>
                <w:sz w:val="21"/>
                <w:szCs w:val="21"/>
              </w:rPr>
            </w:pP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1月</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2月</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3月</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4月</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5月</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6月</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7月</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8月</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9月</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10月</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11月</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12月</w:t>
            </w:r>
          </w:p>
        </w:tc>
        <w:tc>
          <w:tcPr>
            <w:tcW w:w="682" w:type="dxa"/>
            <w:vMerge w:val="continue"/>
            <w:tcBorders>
              <w:top w:val="single" w:color="auto" w:sz="8" w:space="0"/>
              <w:left w:val="single" w:color="auto" w:sz="4" w:space="0"/>
              <w:bottom w:val="single" w:color="auto" w:sz="4" w:space="0"/>
              <w:right w:val="single" w:color="auto" w:sz="8" w:space="0"/>
            </w:tcBorders>
            <w:tcMar>
              <w:left w:w="6" w:type="dxa"/>
              <w:right w:w="6" w:type="dxa"/>
            </w:tcMar>
            <w:vAlign w:val="center"/>
          </w:tcPr>
          <w:p>
            <w:pPr>
              <w:snapToGrid w:val="0"/>
              <w:spacing w:line="240" w:lineRule="auto"/>
              <w:ind w:firstLine="0" w:firstLineChars="0"/>
              <w:jc w:val="center"/>
              <w:rPr>
                <w:rFonts w:eastAsia="仿宋_GB2312" w:cs="Times New Roman"/>
                <w:b/>
                <w:kern w:val="0"/>
                <w:sz w:val="21"/>
                <w:szCs w:val="21"/>
              </w:rPr>
            </w:pPr>
          </w:p>
        </w:tc>
      </w:tr>
      <w:tr>
        <w:tblPrEx>
          <w:tblLayout w:type="fixed"/>
          <w:tblCellMar>
            <w:top w:w="0" w:type="dxa"/>
            <w:left w:w="108" w:type="dxa"/>
            <w:bottom w:w="0" w:type="dxa"/>
            <w:right w:w="108" w:type="dxa"/>
          </w:tblCellMar>
        </w:tblPrEx>
        <w:trPr>
          <w:trHeight w:val="465" w:hRule="atLeast"/>
          <w:jc w:val="center"/>
        </w:trPr>
        <w:tc>
          <w:tcPr>
            <w:tcW w:w="484" w:type="dxa"/>
            <w:vMerge w:val="restart"/>
            <w:tcBorders>
              <w:top w:val="nil"/>
              <w:left w:val="single" w:color="auto" w:sz="8" w:space="0"/>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2011</w:t>
            </w: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青龙湾</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6.12</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49</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30.2</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7.48</w:t>
            </w:r>
          </w:p>
        </w:tc>
      </w:tr>
      <w:tr>
        <w:tblPrEx>
          <w:tblLayout w:type="fixed"/>
          <w:tblCellMar>
            <w:top w:w="0" w:type="dxa"/>
            <w:left w:w="108" w:type="dxa"/>
            <w:bottom w:w="0" w:type="dxa"/>
            <w:right w:w="108" w:type="dxa"/>
          </w:tblCellMar>
        </w:tblPrEx>
        <w:trPr>
          <w:trHeight w:val="465" w:hRule="atLeast"/>
          <w:jc w:val="center"/>
        </w:trPr>
        <w:tc>
          <w:tcPr>
            <w:tcW w:w="484" w:type="dxa"/>
            <w:vMerge w:val="continue"/>
            <w:tcBorders>
              <w:top w:val="nil"/>
              <w:left w:val="single" w:color="auto" w:sz="8" w:space="0"/>
              <w:bottom w:val="single" w:color="auto" w:sz="4" w:space="0"/>
              <w:right w:val="single" w:color="auto" w:sz="4" w:space="0"/>
            </w:tcBorders>
            <w:tcMar>
              <w:left w:w="6" w:type="dxa"/>
              <w:right w:w="6" w:type="dxa"/>
            </w:tcMar>
            <w:vAlign w:val="center"/>
          </w:tcPr>
          <w:p>
            <w:pPr>
              <w:snapToGrid w:val="0"/>
              <w:spacing w:line="240" w:lineRule="auto"/>
              <w:ind w:firstLine="0" w:firstLineChars="0"/>
              <w:jc w:val="center"/>
              <w:rPr>
                <w:rFonts w:eastAsia="仿宋_GB2312" w:cs="Times New Roman"/>
                <w:color w:val="000000"/>
                <w:kern w:val="0"/>
                <w:sz w:val="21"/>
                <w:szCs w:val="21"/>
              </w:rPr>
            </w:pP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土门楼</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2.4</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2.79</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10.7</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3.39</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0.097</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12.6</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11.4</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7.83</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28.1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9.42</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2.1</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16.3</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9.81</w:t>
            </w:r>
          </w:p>
        </w:tc>
      </w:tr>
      <w:tr>
        <w:tblPrEx>
          <w:tblLayout w:type="fixed"/>
          <w:tblCellMar>
            <w:top w:w="0" w:type="dxa"/>
            <w:left w:w="108" w:type="dxa"/>
            <w:bottom w:w="0" w:type="dxa"/>
            <w:right w:w="108" w:type="dxa"/>
          </w:tblCellMar>
        </w:tblPrEx>
        <w:trPr>
          <w:trHeight w:val="465" w:hRule="atLeast"/>
          <w:jc w:val="center"/>
        </w:trPr>
        <w:tc>
          <w:tcPr>
            <w:tcW w:w="484" w:type="dxa"/>
            <w:vMerge w:val="continue"/>
            <w:tcBorders>
              <w:top w:val="nil"/>
              <w:left w:val="single" w:color="auto" w:sz="8" w:space="0"/>
              <w:bottom w:val="single" w:color="auto" w:sz="4" w:space="0"/>
              <w:right w:val="single" w:color="auto" w:sz="4" w:space="0"/>
            </w:tcBorders>
            <w:tcMar>
              <w:left w:w="6" w:type="dxa"/>
              <w:right w:w="6" w:type="dxa"/>
            </w:tcMar>
            <w:vAlign w:val="center"/>
          </w:tcPr>
          <w:p>
            <w:pPr>
              <w:snapToGrid w:val="0"/>
              <w:spacing w:line="240" w:lineRule="auto"/>
              <w:ind w:firstLine="0" w:firstLineChars="0"/>
              <w:jc w:val="center"/>
              <w:rPr>
                <w:rFonts w:eastAsia="仿宋_GB2312" w:cs="Times New Roman"/>
                <w:color w:val="000000"/>
                <w:kern w:val="0"/>
                <w:sz w:val="21"/>
                <w:szCs w:val="21"/>
              </w:rPr>
            </w:pP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总计</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12.4</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2.79</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10.7</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3.39</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0.097</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18.72</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60.4</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38.03</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28.1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12.42</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2.1</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16.3</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17.29</w:t>
            </w:r>
          </w:p>
        </w:tc>
      </w:tr>
      <w:tr>
        <w:tblPrEx>
          <w:tblLayout w:type="fixed"/>
          <w:tblCellMar>
            <w:top w:w="0" w:type="dxa"/>
            <w:left w:w="108" w:type="dxa"/>
            <w:bottom w:w="0" w:type="dxa"/>
            <w:right w:w="108" w:type="dxa"/>
          </w:tblCellMar>
        </w:tblPrEx>
        <w:trPr>
          <w:trHeight w:val="465" w:hRule="atLeast"/>
          <w:jc w:val="center"/>
        </w:trPr>
        <w:tc>
          <w:tcPr>
            <w:tcW w:w="484" w:type="dxa"/>
            <w:vMerge w:val="restart"/>
            <w:tcBorders>
              <w:top w:val="nil"/>
              <w:left w:val="single" w:color="auto" w:sz="8" w:space="0"/>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2012</w:t>
            </w: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青龙湾</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10.8</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53.9</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24.2</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11.2</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2.54</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18.4</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14.6</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11.4</w:t>
            </w:r>
          </w:p>
        </w:tc>
      </w:tr>
      <w:tr>
        <w:tblPrEx>
          <w:tblLayout w:type="fixed"/>
          <w:tblCellMar>
            <w:top w:w="0" w:type="dxa"/>
            <w:left w:w="108" w:type="dxa"/>
            <w:bottom w:w="0" w:type="dxa"/>
            <w:right w:w="108" w:type="dxa"/>
          </w:tblCellMar>
        </w:tblPrEx>
        <w:trPr>
          <w:trHeight w:val="465" w:hRule="atLeast"/>
          <w:jc w:val="center"/>
        </w:trPr>
        <w:tc>
          <w:tcPr>
            <w:tcW w:w="484" w:type="dxa"/>
            <w:vMerge w:val="continue"/>
            <w:tcBorders>
              <w:top w:val="nil"/>
              <w:left w:val="single" w:color="auto" w:sz="8" w:space="0"/>
              <w:bottom w:val="single" w:color="auto" w:sz="4" w:space="0"/>
              <w:right w:val="single" w:color="auto" w:sz="4" w:space="0"/>
            </w:tcBorders>
            <w:tcMar>
              <w:left w:w="6" w:type="dxa"/>
              <w:right w:w="6" w:type="dxa"/>
            </w:tcMar>
            <w:vAlign w:val="center"/>
          </w:tcPr>
          <w:p>
            <w:pPr>
              <w:snapToGrid w:val="0"/>
              <w:spacing w:line="240" w:lineRule="auto"/>
              <w:ind w:firstLine="0" w:firstLineChars="0"/>
              <w:jc w:val="center"/>
              <w:rPr>
                <w:rFonts w:eastAsia="仿宋_GB2312" w:cs="Times New Roman"/>
                <w:color w:val="000000"/>
                <w:kern w:val="0"/>
                <w:sz w:val="21"/>
                <w:szCs w:val="21"/>
              </w:rPr>
            </w:pP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土门楼</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3.4</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1.46</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14.3</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14.4</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23.5</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12.7</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9.45</w:t>
            </w:r>
          </w:p>
        </w:tc>
      </w:tr>
      <w:tr>
        <w:tblPrEx>
          <w:tblLayout w:type="fixed"/>
          <w:tblCellMar>
            <w:top w:w="0" w:type="dxa"/>
            <w:left w:w="108" w:type="dxa"/>
            <w:bottom w:w="0" w:type="dxa"/>
            <w:right w:w="108" w:type="dxa"/>
          </w:tblCellMar>
        </w:tblPrEx>
        <w:trPr>
          <w:trHeight w:val="465" w:hRule="atLeast"/>
          <w:jc w:val="center"/>
        </w:trPr>
        <w:tc>
          <w:tcPr>
            <w:tcW w:w="484" w:type="dxa"/>
            <w:vMerge w:val="continue"/>
            <w:tcBorders>
              <w:top w:val="nil"/>
              <w:left w:val="single" w:color="auto" w:sz="8" w:space="0"/>
              <w:bottom w:val="single" w:color="auto" w:sz="4" w:space="0"/>
              <w:right w:val="single" w:color="auto" w:sz="4" w:space="0"/>
            </w:tcBorders>
            <w:tcMar>
              <w:left w:w="6" w:type="dxa"/>
              <w:right w:w="6" w:type="dxa"/>
            </w:tcMar>
            <w:vAlign w:val="center"/>
          </w:tcPr>
          <w:p>
            <w:pPr>
              <w:snapToGrid w:val="0"/>
              <w:spacing w:line="240" w:lineRule="auto"/>
              <w:ind w:firstLine="0" w:firstLineChars="0"/>
              <w:jc w:val="center"/>
              <w:rPr>
                <w:rFonts w:eastAsia="仿宋_GB2312" w:cs="Times New Roman"/>
                <w:color w:val="000000"/>
                <w:kern w:val="0"/>
                <w:sz w:val="21"/>
                <w:szCs w:val="21"/>
              </w:rPr>
            </w:pP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总计</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3.4</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1.46</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14.3</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28.8</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68.3</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36.2</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34.7</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15.24</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20.0</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14.6</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20.85</w:t>
            </w:r>
          </w:p>
        </w:tc>
      </w:tr>
      <w:tr>
        <w:tblPrEx>
          <w:tblLayout w:type="fixed"/>
          <w:tblCellMar>
            <w:top w:w="0" w:type="dxa"/>
            <w:left w:w="108" w:type="dxa"/>
            <w:bottom w:w="0" w:type="dxa"/>
            <w:right w:w="108" w:type="dxa"/>
          </w:tblCellMar>
        </w:tblPrEx>
        <w:trPr>
          <w:trHeight w:val="465" w:hRule="atLeast"/>
          <w:jc w:val="center"/>
        </w:trPr>
        <w:tc>
          <w:tcPr>
            <w:tcW w:w="484" w:type="dxa"/>
            <w:vMerge w:val="restart"/>
            <w:tcBorders>
              <w:top w:val="nil"/>
              <w:left w:val="single" w:color="auto" w:sz="8" w:space="0"/>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2013</w:t>
            </w: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青龙湾</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18.6</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26.2</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2.16</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34.1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18.3</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9.49</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w:t>
            </w:r>
          </w:p>
        </w:tc>
      </w:tr>
      <w:tr>
        <w:tblPrEx>
          <w:tblLayout w:type="fixed"/>
          <w:tblCellMar>
            <w:top w:w="0" w:type="dxa"/>
            <w:left w:w="108" w:type="dxa"/>
            <w:bottom w:w="0" w:type="dxa"/>
            <w:right w:w="108" w:type="dxa"/>
          </w:tblCellMar>
        </w:tblPrEx>
        <w:trPr>
          <w:trHeight w:val="465" w:hRule="atLeast"/>
          <w:jc w:val="center"/>
        </w:trPr>
        <w:tc>
          <w:tcPr>
            <w:tcW w:w="484" w:type="dxa"/>
            <w:vMerge w:val="continue"/>
            <w:tcBorders>
              <w:top w:val="nil"/>
              <w:left w:val="single" w:color="auto" w:sz="8" w:space="0"/>
              <w:bottom w:val="single" w:color="auto" w:sz="4" w:space="0"/>
              <w:right w:val="single" w:color="auto" w:sz="4" w:space="0"/>
            </w:tcBorders>
            <w:tcMar>
              <w:left w:w="6" w:type="dxa"/>
              <w:right w:w="6" w:type="dxa"/>
            </w:tcMar>
            <w:vAlign w:val="center"/>
          </w:tcPr>
          <w:p>
            <w:pPr>
              <w:snapToGrid w:val="0"/>
              <w:spacing w:line="240" w:lineRule="auto"/>
              <w:ind w:firstLine="0" w:firstLineChars="0"/>
              <w:jc w:val="center"/>
              <w:rPr>
                <w:rFonts w:eastAsia="仿宋_GB2312" w:cs="Times New Roman"/>
                <w:color w:val="000000"/>
                <w:kern w:val="0"/>
                <w:sz w:val="21"/>
                <w:szCs w:val="21"/>
              </w:rPr>
            </w:pP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土门楼</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13.9</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4.34</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7.35</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15.5</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26.2</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25.1</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25</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11.6</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11.5</w:t>
            </w:r>
          </w:p>
        </w:tc>
      </w:tr>
      <w:tr>
        <w:tblPrEx>
          <w:tblLayout w:type="fixed"/>
          <w:tblCellMar>
            <w:top w:w="0" w:type="dxa"/>
            <w:left w:w="108" w:type="dxa"/>
            <w:bottom w:w="0" w:type="dxa"/>
            <w:right w:w="108" w:type="dxa"/>
          </w:tblCellMar>
        </w:tblPrEx>
        <w:trPr>
          <w:trHeight w:val="465" w:hRule="atLeast"/>
          <w:jc w:val="center"/>
        </w:trPr>
        <w:tc>
          <w:tcPr>
            <w:tcW w:w="484" w:type="dxa"/>
            <w:vMerge w:val="continue"/>
            <w:tcBorders>
              <w:top w:val="nil"/>
              <w:left w:val="single" w:color="auto" w:sz="8" w:space="0"/>
              <w:bottom w:val="single" w:color="auto" w:sz="4" w:space="0"/>
              <w:right w:val="single" w:color="auto" w:sz="4" w:space="0"/>
            </w:tcBorders>
            <w:tcMar>
              <w:left w:w="6" w:type="dxa"/>
              <w:right w:w="6" w:type="dxa"/>
            </w:tcMar>
            <w:vAlign w:val="center"/>
          </w:tcPr>
          <w:p>
            <w:pPr>
              <w:snapToGrid w:val="0"/>
              <w:spacing w:line="240" w:lineRule="auto"/>
              <w:ind w:firstLine="0" w:firstLineChars="0"/>
              <w:jc w:val="center"/>
              <w:rPr>
                <w:rFonts w:eastAsia="仿宋_GB2312" w:cs="Times New Roman"/>
                <w:color w:val="000000"/>
                <w:kern w:val="0"/>
                <w:sz w:val="21"/>
                <w:szCs w:val="21"/>
              </w:rPr>
            </w:pP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总计</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18.6</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26.2</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16.06</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38.44</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67.35</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33.8</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35.69</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25.1</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25</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11.6</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26.5</w:t>
            </w:r>
          </w:p>
        </w:tc>
      </w:tr>
      <w:tr>
        <w:tblPrEx>
          <w:tblLayout w:type="fixed"/>
          <w:tblCellMar>
            <w:top w:w="0" w:type="dxa"/>
            <w:left w:w="108" w:type="dxa"/>
            <w:bottom w:w="0" w:type="dxa"/>
            <w:right w:w="108" w:type="dxa"/>
          </w:tblCellMar>
        </w:tblPrEx>
        <w:trPr>
          <w:trHeight w:val="465" w:hRule="atLeast"/>
          <w:jc w:val="center"/>
        </w:trPr>
        <w:tc>
          <w:tcPr>
            <w:tcW w:w="484" w:type="dxa"/>
            <w:vMerge w:val="restart"/>
            <w:tcBorders>
              <w:top w:val="nil"/>
              <w:left w:val="single" w:color="auto" w:sz="8" w:space="0"/>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2014</w:t>
            </w: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青龙湾</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7.48</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16.2</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0.20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0.59</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6.22</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15.5</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3.75</w:t>
            </w:r>
          </w:p>
        </w:tc>
      </w:tr>
      <w:tr>
        <w:tblPrEx>
          <w:tblLayout w:type="fixed"/>
          <w:tblCellMar>
            <w:top w:w="0" w:type="dxa"/>
            <w:left w:w="108" w:type="dxa"/>
            <w:bottom w:w="0" w:type="dxa"/>
            <w:right w:w="108" w:type="dxa"/>
          </w:tblCellMar>
        </w:tblPrEx>
        <w:trPr>
          <w:trHeight w:val="465" w:hRule="atLeast"/>
          <w:jc w:val="center"/>
        </w:trPr>
        <w:tc>
          <w:tcPr>
            <w:tcW w:w="484" w:type="dxa"/>
            <w:vMerge w:val="continue"/>
            <w:tcBorders>
              <w:top w:val="nil"/>
              <w:left w:val="single" w:color="auto" w:sz="8" w:space="0"/>
              <w:bottom w:val="single" w:color="auto" w:sz="4" w:space="0"/>
              <w:right w:val="single" w:color="auto" w:sz="4" w:space="0"/>
            </w:tcBorders>
            <w:tcMar>
              <w:left w:w="6" w:type="dxa"/>
              <w:right w:w="6" w:type="dxa"/>
            </w:tcMar>
            <w:vAlign w:val="center"/>
          </w:tcPr>
          <w:p>
            <w:pPr>
              <w:snapToGrid w:val="0"/>
              <w:spacing w:line="240" w:lineRule="auto"/>
              <w:ind w:firstLine="0" w:firstLineChars="0"/>
              <w:jc w:val="center"/>
              <w:rPr>
                <w:rFonts w:eastAsia="仿宋_GB2312" w:cs="Times New Roman"/>
                <w:color w:val="000000"/>
                <w:kern w:val="0"/>
                <w:sz w:val="21"/>
                <w:szCs w:val="21"/>
              </w:rPr>
            </w:pP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土门楼</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4.44</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8.7</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28.6</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29.3</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2.91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23.9</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19</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17.7</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w:t>
            </w:r>
          </w:p>
        </w:tc>
      </w:tr>
      <w:tr>
        <w:tblPrEx>
          <w:tblLayout w:type="fixed"/>
          <w:tblCellMar>
            <w:top w:w="0" w:type="dxa"/>
            <w:left w:w="108" w:type="dxa"/>
            <w:bottom w:w="0" w:type="dxa"/>
            <w:right w:w="108" w:type="dxa"/>
          </w:tblCellMar>
        </w:tblPrEx>
        <w:trPr>
          <w:trHeight w:val="465" w:hRule="atLeast"/>
          <w:jc w:val="center"/>
        </w:trPr>
        <w:tc>
          <w:tcPr>
            <w:tcW w:w="484" w:type="dxa"/>
            <w:vMerge w:val="continue"/>
            <w:tcBorders>
              <w:top w:val="nil"/>
              <w:left w:val="single" w:color="auto" w:sz="8" w:space="0"/>
              <w:bottom w:val="single" w:color="auto" w:sz="4" w:space="0"/>
              <w:right w:val="single" w:color="auto" w:sz="4" w:space="0"/>
            </w:tcBorders>
            <w:tcMar>
              <w:left w:w="6" w:type="dxa"/>
              <w:right w:w="6" w:type="dxa"/>
            </w:tcMar>
            <w:vAlign w:val="center"/>
          </w:tcPr>
          <w:p>
            <w:pPr>
              <w:snapToGrid w:val="0"/>
              <w:spacing w:line="240" w:lineRule="auto"/>
              <w:ind w:firstLine="0" w:firstLineChars="0"/>
              <w:jc w:val="center"/>
              <w:rPr>
                <w:rFonts w:eastAsia="仿宋_GB2312" w:cs="Times New Roman"/>
                <w:color w:val="000000"/>
                <w:kern w:val="0"/>
                <w:sz w:val="21"/>
                <w:szCs w:val="21"/>
              </w:rPr>
            </w:pP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总计</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7.48</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16.2</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4.64</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8.7</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28.6</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29.89</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9.13</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39.4</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19</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17.7</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16.75</w:t>
            </w:r>
          </w:p>
        </w:tc>
      </w:tr>
      <w:tr>
        <w:tblPrEx>
          <w:tblLayout w:type="fixed"/>
          <w:tblCellMar>
            <w:top w:w="0" w:type="dxa"/>
            <w:left w:w="108" w:type="dxa"/>
            <w:bottom w:w="0" w:type="dxa"/>
            <w:right w:w="108" w:type="dxa"/>
          </w:tblCellMar>
        </w:tblPrEx>
        <w:trPr>
          <w:trHeight w:val="465" w:hRule="atLeast"/>
          <w:jc w:val="center"/>
        </w:trPr>
        <w:tc>
          <w:tcPr>
            <w:tcW w:w="484" w:type="dxa"/>
            <w:vMerge w:val="restart"/>
            <w:tcBorders>
              <w:top w:val="single" w:color="auto" w:sz="4" w:space="0"/>
              <w:left w:val="single" w:color="auto" w:sz="8" w:space="0"/>
              <w:bottom w:val="single" w:color="000000" w:sz="8"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2015</w:t>
            </w:r>
          </w:p>
        </w:tc>
        <w:tc>
          <w:tcPr>
            <w:tcW w:w="758"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青龙湾</w:t>
            </w:r>
          </w:p>
        </w:tc>
        <w:tc>
          <w:tcPr>
            <w:tcW w:w="476"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478"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1.78</w:t>
            </w:r>
          </w:p>
        </w:tc>
        <w:tc>
          <w:tcPr>
            <w:tcW w:w="588"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588"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2.56</w:t>
            </w:r>
          </w:p>
        </w:tc>
        <w:tc>
          <w:tcPr>
            <w:tcW w:w="588"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0.21</w:t>
            </w:r>
          </w:p>
        </w:tc>
        <w:tc>
          <w:tcPr>
            <w:tcW w:w="588"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10.5</w:t>
            </w:r>
          </w:p>
        </w:tc>
        <w:tc>
          <w:tcPr>
            <w:tcW w:w="588"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12.8</w:t>
            </w:r>
          </w:p>
        </w:tc>
        <w:tc>
          <w:tcPr>
            <w:tcW w:w="478"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w:t>
            </w:r>
          </w:p>
        </w:tc>
        <w:tc>
          <w:tcPr>
            <w:tcW w:w="811" w:type="dxa"/>
            <w:tcBorders>
              <w:top w:val="single" w:color="auto" w:sz="4" w:space="0"/>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w:t>
            </w:r>
          </w:p>
        </w:tc>
        <w:tc>
          <w:tcPr>
            <w:tcW w:w="682" w:type="dxa"/>
            <w:tcBorders>
              <w:top w:val="single" w:color="auto" w:sz="4" w:space="0"/>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2.45</w:t>
            </w:r>
          </w:p>
        </w:tc>
      </w:tr>
      <w:tr>
        <w:tblPrEx>
          <w:tblLayout w:type="fixed"/>
          <w:tblCellMar>
            <w:top w:w="0" w:type="dxa"/>
            <w:left w:w="108" w:type="dxa"/>
            <w:bottom w:w="0" w:type="dxa"/>
            <w:right w:w="108" w:type="dxa"/>
          </w:tblCellMar>
        </w:tblPrEx>
        <w:trPr>
          <w:trHeight w:val="465" w:hRule="atLeast"/>
          <w:jc w:val="center"/>
        </w:trPr>
        <w:tc>
          <w:tcPr>
            <w:tcW w:w="484" w:type="dxa"/>
            <w:vMerge w:val="continue"/>
            <w:tcBorders>
              <w:top w:val="nil"/>
              <w:left w:val="single" w:color="auto" w:sz="8" w:space="0"/>
              <w:bottom w:val="single" w:color="000000" w:sz="8" w:space="0"/>
              <w:right w:val="single" w:color="auto" w:sz="4" w:space="0"/>
            </w:tcBorders>
            <w:tcMar>
              <w:left w:w="6" w:type="dxa"/>
              <w:right w:w="6" w:type="dxa"/>
            </w:tcMar>
            <w:vAlign w:val="center"/>
          </w:tcPr>
          <w:p>
            <w:pPr>
              <w:snapToGrid w:val="0"/>
              <w:spacing w:line="240" w:lineRule="auto"/>
              <w:ind w:firstLine="0" w:firstLineChars="0"/>
              <w:jc w:val="center"/>
              <w:rPr>
                <w:rFonts w:eastAsia="仿宋_GB2312" w:cs="Times New Roman"/>
                <w:color w:val="000000"/>
                <w:kern w:val="0"/>
                <w:sz w:val="21"/>
                <w:szCs w:val="21"/>
              </w:rPr>
            </w:pP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土门楼</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2.48</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3.21</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5.73</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14.8</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9.56</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8.66</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11.7</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30.6</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9.54</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30.5</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32.5</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14.8</w:t>
            </w:r>
          </w:p>
        </w:tc>
      </w:tr>
      <w:tr>
        <w:tblPrEx>
          <w:tblLayout w:type="fixed"/>
          <w:tblCellMar>
            <w:top w:w="0" w:type="dxa"/>
            <w:left w:w="108" w:type="dxa"/>
            <w:bottom w:w="0" w:type="dxa"/>
            <w:right w:w="108" w:type="dxa"/>
          </w:tblCellMar>
        </w:tblPrEx>
        <w:trPr>
          <w:trHeight w:val="465" w:hRule="atLeast"/>
          <w:jc w:val="center"/>
        </w:trPr>
        <w:tc>
          <w:tcPr>
            <w:tcW w:w="484" w:type="dxa"/>
            <w:vMerge w:val="continue"/>
            <w:tcBorders>
              <w:top w:val="nil"/>
              <w:left w:val="single" w:color="auto" w:sz="8" w:space="0"/>
              <w:bottom w:val="single" w:color="auto" w:sz="4" w:space="0"/>
              <w:right w:val="single" w:color="auto" w:sz="4" w:space="0"/>
            </w:tcBorders>
            <w:tcMar>
              <w:left w:w="6" w:type="dxa"/>
              <w:right w:w="6" w:type="dxa"/>
            </w:tcMar>
            <w:vAlign w:val="center"/>
          </w:tcPr>
          <w:p>
            <w:pPr>
              <w:snapToGrid w:val="0"/>
              <w:spacing w:line="240" w:lineRule="auto"/>
              <w:ind w:firstLine="0" w:firstLineChars="0"/>
              <w:jc w:val="center"/>
              <w:rPr>
                <w:rFonts w:eastAsia="仿宋_GB2312" w:cs="Times New Roman"/>
                <w:color w:val="000000"/>
                <w:kern w:val="0"/>
                <w:sz w:val="21"/>
                <w:szCs w:val="21"/>
              </w:rPr>
            </w:pPr>
          </w:p>
        </w:tc>
        <w:tc>
          <w:tcPr>
            <w:tcW w:w="75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总计</w:t>
            </w:r>
          </w:p>
        </w:tc>
        <w:tc>
          <w:tcPr>
            <w:tcW w:w="476"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2.48</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3.21</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5.73</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14.8</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11.34</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8.66</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20.66</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11.91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41.1</w:t>
            </w:r>
          </w:p>
        </w:tc>
        <w:tc>
          <w:tcPr>
            <w:tcW w:w="58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22.34</w:t>
            </w:r>
          </w:p>
        </w:tc>
        <w:tc>
          <w:tcPr>
            <w:tcW w:w="478"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31.9</w:t>
            </w:r>
          </w:p>
        </w:tc>
        <w:tc>
          <w:tcPr>
            <w:tcW w:w="811" w:type="dxa"/>
            <w:tcBorders>
              <w:top w:val="nil"/>
              <w:left w:val="nil"/>
              <w:bottom w:val="single" w:color="auto" w:sz="4" w:space="0"/>
              <w:right w:val="single" w:color="auto" w:sz="4"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32.5</w:t>
            </w:r>
          </w:p>
        </w:tc>
        <w:tc>
          <w:tcPr>
            <w:tcW w:w="682" w:type="dxa"/>
            <w:tcBorders>
              <w:top w:val="nil"/>
              <w:left w:val="nil"/>
              <w:bottom w:val="single" w:color="auto" w:sz="4" w:space="0"/>
              <w:right w:val="single" w:color="auto" w:sz="8" w:space="0"/>
            </w:tcBorders>
            <w:tcMar>
              <w:left w:w="6" w:type="dxa"/>
              <w:right w:w="6"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17.25</w:t>
            </w:r>
          </w:p>
        </w:tc>
      </w:tr>
    </w:tbl>
    <w:p>
      <w:pPr>
        <w:autoSpaceDN w:val="0"/>
        <w:snapToGrid w:val="0"/>
        <w:spacing w:line="24" w:lineRule="auto"/>
        <w:ind w:firstLine="643"/>
        <w:jc w:val="center"/>
        <w:rPr>
          <w:rFonts w:eastAsia="仿宋_GB2312" w:cs="Times New Roman"/>
          <w:b/>
          <w:bCs/>
          <w:color w:val="FF0000"/>
          <w:sz w:val="32"/>
          <w:szCs w:val="32"/>
        </w:rPr>
      </w:pPr>
    </w:p>
    <w:p>
      <w:pPr>
        <w:autoSpaceDN w:val="0"/>
        <w:snapToGrid w:val="0"/>
        <w:spacing w:line="24" w:lineRule="auto"/>
        <w:ind w:firstLine="480"/>
        <w:rPr>
          <w:rFonts w:eastAsia="仿宋_GB2312" w:cs="Times New Roman"/>
          <w:szCs w:val="24"/>
        </w:rPr>
      </w:pPr>
    </w:p>
    <w:p>
      <w:pPr>
        <w:pStyle w:val="4"/>
        <w:autoSpaceDN w:val="0"/>
        <w:snapToGrid w:val="0"/>
        <w:spacing w:line="600" w:lineRule="exact"/>
        <w:ind w:firstLine="643"/>
      </w:pPr>
      <w:bookmarkStart w:id="370" w:name="_Toc21720668"/>
      <w:r>
        <w:t>2.1.3地形地貌</w:t>
      </w:r>
      <w:bookmarkEnd w:id="370"/>
    </w:p>
    <w:p>
      <w:pPr>
        <w:pStyle w:val="11"/>
        <w:autoSpaceDN w:val="0"/>
        <w:snapToGrid w:val="0"/>
        <w:spacing w:line="600" w:lineRule="exact"/>
        <w:ind w:firstLine="616"/>
        <w:rPr>
          <w:rFonts w:eastAsia="仿宋_GB2312"/>
          <w:spacing w:val="-6"/>
          <w:sz w:val="32"/>
          <w:szCs w:val="32"/>
        </w:rPr>
      </w:pPr>
      <w:r>
        <w:rPr>
          <w:rFonts w:eastAsia="仿宋_GB2312"/>
          <w:spacing w:val="-6"/>
          <w:sz w:val="32"/>
          <w:szCs w:val="32"/>
        </w:rPr>
        <w:t>香河县地势西北高，东南低，自然坡度1/3000左右，地面高程4.9</w:t>
      </w:r>
      <w:r>
        <w:rPr>
          <w:rFonts w:hint="eastAsia" w:eastAsia="仿宋_GB2312"/>
          <w:spacing w:val="-6"/>
          <w:sz w:val="32"/>
          <w:szCs w:val="32"/>
        </w:rPr>
        <w:t>~</w:t>
      </w:r>
      <w:r>
        <w:rPr>
          <w:rFonts w:eastAsia="仿宋_GB2312"/>
          <w:spacing w:val="-6"/>
          <w:sz w:val="32"/>
          <w:szCs w:val="32"/>
        </w:rPr>
        <w:t>15.7米（黄海高程）是由山缘向冲击平原过度的交接地带，北部受潮白河、鲍邱河的淤积切割形成河间地带，西部和西南部，东部和东南部分别受北运河和潮白河影响，形成香河县广阔的冲积平原，在冲积平原上，从水平到垂直都表现出河流冲积沉积现象。</w:t>
      </w:r>
    </w:p>
    <w:p>
      <w:pPr>
        <w:pStyle w:val="4"/>
        <w:autoSpaceDN w:val="0"/>
        <w:spacing w:line="600" w:lineRule="exact"/>
        <w:ind w:firstLine="643"/>
      </w:pPr>
      <w:bookmarkStart w:id="371" w:name="_Toc21720669"/>
      <w:bookmarkStart w:id="372" w:name="_Toc460245345"/>
      <w:bookmarkStart w:id="373" w:name="_Toc4243"/>
      <w:bookmarkStart w:id="374" w:name="_Toc454455850"/>
      <w:bookmarkStart w:id="375" w:name="_Toc458373071"/>
      <w:bookmarkStart w:id="376" w:name="_Toc460430320"/>
      <w:r>
        <w:t>2.1.4土壤特征</w:t>
      </w:r>
      <w:bookmarkEnd w:id="371"/>
      <w:bookmarkEnd w:id="372"/>
      <w:bookmarkEnd w:id="373"/>
    </w:p>
    <w:p>
      <w:pPr>
        <w:pStyle w:val="11"/>
        <w:autoSpaceDN w:val="0"/>
        <w:spacing w:line="600" w:lineRule="exact"/>
        <w:ind w:firstLine="640"/>
        <w:rPr>
          <w:rFonts w:eastAsia="仿宋_GB2312"/>
          <w:sz w:val="32"/>
          <w:szCs w:val="32"/>
        </w:rPr>
      </w:pPr>
      <w:r>
        <w:rPr>
          <w:rFonts w:eastAsia="仿宋_GB2312"/>
          <w:sz w:val="32"/>
          <w:szCs w:val="32"/>
        </w:rPr>
        <w:t>北运河河床以砂壤土为主，极易冲刷，植被根系不易附着。地表出露与钻探揭露的地层主要为砂性土段，地层以砂壤土、砂土为主，层次分述如下：</w:t>
      </w:r>
      <w:r>
        <w:rPr>
          <w:rFonts w:eastAsia="仿宋_GB2312"/>
          <w:sz w:val="32"/>
          <w:szCs w:val="32"/>
        </w:rPr>
        <w:sym w:font="Wingdings" w:char="0081"/>
      </w:r>
      <w:r>
        <w:rPr>
          <w:rFonts w:eastAsia="仿宋_GB2312"/>
          <w:sz w:val="32"/>
          <w:szCs w:val="32"/>
        </w:rPr>
        <w:t>层素填土：以砂壤土、壤土为主，土质不均，含植物根、砖屑等，厚度：0.50</w:t>
      </w:r>
      <w:r>
        <w:rPr>
          <w:rFonts w:hint="eastAsia" w:eastAsia="仿宋_GB2312"/>
          <w:sz w:val="32"/>
          <w:szCs w:val="32"/>
        </w:rPr>
        <w:t>~</w:t>
      </w:r>
      <w:r>
        <w:rPr>
          <w:rFonts w:eastAsia="仿宋_GB2312"/>
          <w:sz w:val="32"/>
          <w:szCs w:val="32"/>
        </w:rPr>
        <w:t>2.60米。</w:t>
      </w:r>
      <w:r>
        <w:rPr>
          <w:rFonts w:eastAsia="仿宋_GB2312"/>
          <w:sz w:val="32"/>
          <w:szCs w:val="32"/>
        </w:rPr>
        <w:sym w:font="Wingdings" w:char="0081"/>
      </w:r>
      <w:r>
        <w:rPr>
          <w:rFonts w:hint="eastAsia" w:eastAsia="仿宋_GB2312"/>
          <w:sz w:val="32"/>
          <w:szCs w:val="32"/>
        </w:rPr>
        <w:t>-</w:t>
      </w:r>
      <w:r>
        <w:rPr>
          <w:rFonts w:eastAsia="仿宋_GB2312"/>
          <w:sz w:val="32"/>
          <w:szCs w:val="32"/>
        </w:rPr>
        <w:t>1层杂填土：含建筑垃圾等杂质，土质松散不均，厚度：0.40</w:t>
      </w:r>
      <w:r>
        <w:rPr>
          <w:rFonts w:hint="eastAsia" w:eastAsia="仿宋_GB2312"/>
          <w:sz w:val="32"/>
          <w:szCs w:val="32"/>
        </w:rPr>
        <w:t>~</w:t>
      </w:r>
      <w:r>
        <w:rPr>
          <w:rFonts w:eastAsia="仿宋_GB2312"/>
          <w:sz w:val="32"/>
          <w:szCs w:val="32"/>
        </w:rPr>
        <w:t>1.20米。</w:t>
      </w:r>
      <w:r>
        <w:rPr>
          <w:rFonts w:eastAsia="仿宋_GB2312"/>
          <w:sz w:val="32"/>
          <w:szCs w:val="32"/>
        </w:rPr>
        <w:sym w:font="Wingdings" w:char="201A"/>
      </w:r>
      <w:r>
        <w:rPr>
          <w:rFonts w:eastAsia="仿宋_GB2312"/>
          <w:sz w:val="32"/>
          <w:szCs w:val="32"/>
        </w:rPr>
        <w:t>层砂壤土：褐黄色，稍湿</w:t>
      </w:r>
      <w:r>
        <w:rPr>
          <w:rFonts w:hint="eastAsia" w:eastAsia="仿宋_GB2312"/>
          <w:sz w:val="32"/>
          <w:szCs w:val="32"/>
        </w:rPr>
        <w:t>-</w:t>
      </w:r>
      <w:r>
        <w:rPr>
          <w:rFonts w:eastAsia="仿宋_GB2312"/>
          <w:sz w:val="32"/>
          <w:szCs w:val="32"/>
        </w:rPr>
        <w:t>湿，中密</w:t>
      </w:r>
      <w:r>
        <w:rPr>
          <w:rFonts w:hint="eastAsia" w:eastAsia="仿宋_GB2312"/>
          <w:sz w:val="32"/>
          <w:szCs w:val="32"/>
        </w:rPr>
        <w:t>-</w:t>
      </w:r>
      <w:r>
        <w:rPr>
          <w:rFonts w:eastAsia="仿宋_GB2312"/>
          <w:sz w:val="32"/>
          <w:szCs w:val="32"/>
        </w:rPr>
        <w:t>密实，局部稍密，摇震反应中等，韧性低，干强度低，切面无光泽，含云母碎屑，见锈染，夹壤土及细沙薄层，厚度：0.60</w:t>
      </w:r>
      <w:r>
        <w:rPr>
          <w:rFonts w:hint="eastAsia" w:eastAsia="仿宋_GB2312"/>
          <w:sz w:val="32"/>
          <w:szCs w:val="32"/>
        </w:rPr>
        <w:t>~</w:t>
      </w:r>
      <w:r>
        <w:rPr>
          <w:rFonts w:eastAsia="仿宋_GB2312"/>
          <w:sz w:val="32"/>
          <w:szCs w:val="32"/>
        </w:rPr>
        <w:t>5.20米。</w:t>
      </w:r>
      <w:r>
        <w:rPr>
          <w:rFonts w:eastAsia="仿宋_GB2312"/>
          <w:sz w:val="32"/>
          <w:szCs w:val="32"/>
        </w:rPr>
        <w:sym w:font="Wingdings" w:char="201A"/>
      </w:r>
      <w:r>
        <w:rPr>
          <w:rFonts w:hint="eastAsia" w:eastAsia="仿宋_GB2312"/>
          <w:sz w:val="32"/>
          <w:szCs w:val="32"/>
        </w:rPr>
        <w:t>-</w:t>
      </w:r>
      <w:r>
        <w:rPr>
          <w:rFonts w:eastAsia="仿宋_GB2312"/>
          <w:sz w:val="32"/>
          <w:szCs w:val="32"/>
        </w:rPr>
        <w:t>1层壤土：黄褐色，局部灰色，软塑</w:t>
      </w:r>
      <w:r>
        <w:rPr>
          <w:rFonts w:hint="eastAsia" w:eastAsia="仿宋_GB2312"/>
          <w:sz w:val="32"/>
          <w:szCs w:val="32"/>
        </w:rPr>
        <w:t>-</w:t>
      </w:r>
      <w:r>
        <w:rPr>
          <w:rFonts w:eastAsia="仿宋_GB2312"/>
          <w:sz w:val="32"/>
          <w:szCs w:val="32"/>
        </w:rPr>
        <w:t>可塑，中</w:t>
      </w:r>
      <w:r>
        <w:rPr>
          <w:rFonts w:hint="eastAsia" w:eastAsia="仿宋_GB2312"/>
          <w:sz w:val="32"/>
          <w:szCs w:val="32"/>
        </w:rPr>
        <w:t>-</w:t>
      </w:r>
      <w:r>
        <w:rPr>
          <w:rFonts w:eastAsia="仿宋_GB2312"/>
          <w:sz w:val="32"/>
          <w:szCs w:val="32"/>
        </w:rPr>
        <w:t>高压缩性，韧性中等，干强度中等，切面有光泽，见锈染，夹壤土及黏土薄层，厚度：0.50</w:t>
      </w:r>
      <w:r>
        <w:rPr>
          <w:rFonts w:hint="eastAsia" w:eastAsia="仿宋_GB2312"/>
          <w:sz w:val="32"/>
          <w:szCs w:val="32"/>
        </w:rPr>
        <w:t>~</w:t>
      </w:r>
      <w:r>
        <w:rPr>
          <w:rFonts w:eastAsia="仿宋_GB2312"/>
          <w:sz w:val="32"/>
          <w:szCs w:val="32"/>
        </w:rPr>
        <w:t>4.30米。</w:t>
      </w:r>
      <w:r>
        <w:rPr>
          <w:rFonts w:eastAsia="仿宋_GB2312"/>
          <w:sz w:val="32"/>
          <w:szCs w:val="32"/>
        </w:rPr>
        <w:sym w:font="Wingdings" w:char="201A"/>
      </w:r>
      <w:r>
        <w:rPr>
          <w:rFonts w:hint="eastAsia" w:eastAsia="仿宋_GB2312"/>
          <w:sz w:val="32"/>
          <w:szCs w:val="32"/>
        </w:rPr>
        <w:t>-</w:t>
      </w:r>
      <w:r>
        <w:rPr>
          <w:rFonts w:eastAsia="仿宋_GB2312"/>
          <w:sz w:val="32"/>
          <w:szCs w:val="32"/>
        </w:rPr>
        <w:t>2层细砂：褐黄色</w:t>
      </w:r>
      <w:r>
        <w:rPr>
          <w:rFonts w:hint="eastAsia" w:eastAsia="仿宋_GB2312"/>
          <w:sz w:val="32"/>
          <w:szCs w:val="32"/>
        </w:rPr>
        <w:t>-</w:t>
      </w:r>
      <w:r>
        <w:rPr>
          <w:rFonts w:eastAsia="仿宋_GB2312"/>
          <w:sz w:val="32"/>
          <w:szCs w:val="32"/>
        </w:rPr>
        <w:t>灰黄色，松散</w:t>
      </w:r>
      <w:r>
        <w:rPr>
          <w:rFonts w:hint="eastAsia" w:eastAsia="仿宋_GB2312"/>
          <w:sz w:val="32"/>
          <w:szCs w:val="32"/>
        </w:rPr>
        <w:t>-</w:t>
      </w:r>
      <w:r>
        <w:rPr>
          <w:rFonts w:eastAsia="仿宋_GB2312"/>
          <w:sz w:val="32"/>
          <w:szCs w:val="32"/>
        </w:rPr>
        <w:t>稍密，以石英、长石为主，夹砂壤土及中砂薄层，厚度：0.80</w:t>
      </w:r>
      <w:r>
        <w:rPr>
          <w:rFonts w:hint="eastAsia" w:eastAsia="仿宋_GB2312"/>
          <w:sz w:val="32"/>
          <w:szCs w:val="32"/>
        </w:rPr>
        <w:t>~</w:t>
      </w:r>
      <w:r>
        <w:rPr>
          <w:rFonts w:eastAsia="仿宋_GB2312"/>
          <w:sz w:val="32"/>
          <w:szCs w:val="32"/>
        </w:rPr>
        <w:t>4.20m。</w:t>
      </w:r>
      <w:r>
        <w:rPr>
          <w:rFonts w:eastAsia="仿宋_GB2312"/>
          <w:sz w:val="32"/>
          <w:szCs w:val="32"/>
        </w:rPr>
        <w:sym w:font="Wingdings" w:char="0192"/>
      </w:r>
      <w:r>
        <w:rPr>
          <w:rFonts w:eastAsia="仿宋_GB2312"/>
          <w:sz w:val="32"/>
          <w:szCs w:val="32"/>
        </w:rPr>
        <w:t>层中细砂：灰色</w:t>
      </w:r>
      <w:r>
        <w:rPr>
          <w:rFonts w:hint="eastAsia" w:eastAsia="仿宋_GB2312"/>
          <w:sz w:val="32"/>
          <w:szCs w:val="32"/>
        </w:rPr>
        <w:t>-</w:t>
      </w:r>
      <w:r>
        <w:rPr>
          <w:rFonts w:eastAsia="仿宋_GB2312"/>
          <w:sz w:val="32"/>
          <w:szCs w:val="32"/>
        </w:rPr>
        <w:t>灰黄色，局部褐黄色，稍密</w:t>
      </w:r>
      <w:r>
        <w:rPr>
          <w:rFonts w:hint="eastAsia" w:eastAsia="仿宋_GB2312"/>
          <w:sz w:val="32"/>
          <w:szCs w:val="32"/>
        </w:rPr>
        <w:t>-</w:t>
      </w:r>
      <w:r>
        <w:rPr>
          <w:rFonts w:eastAsia="仿宋_GB2312"/>
          <w:sz w:val="32"/>
          <w:szCs w:val="32"/>
        </w:rPr>
        <w:t>中密，局部松散，以石英、长石为主，夹砂壤土及壤土薄层，厚度：1.60</w:t>
      </w:r>
      <w:r>
        <w:rPr>
          <w:rFonts w:hint="eastAsia" w:eastAsia="仿宋_GB2312"/>
          <w:sz w:val="32"/>
          <w:szCs w:val="32"/>
        </w:rPr>
        <w:t>~</w:t>
      </w:r>
      <w:r>
        <w:rPr>
          <w:rFonts w:eastAsia="仿宋_GB2312"/>
          <w:sz w:val="32"/>
          <w:szCs w:val="32"/>
        </w:rPr>
        <w:t>8.20米。</w:t>
      </w:r>
      <w:r>
        <w:rPr>
          <w:rFonts w:eastAsia="仿宋_GB2312"/>
          <w:sz w:val="32"/>
          <w:szCs w:val="32"/>
        </w:rPr>
        <w:sym w:font="Wingdings" w:char="0192"/>
      </w:r>
      <w:r>
        <w:rPr>
          <w:rFonts w:hint="eastAsia" w:eastAsia="仿宋_GB2312"/>
          <w:sz w:val="32"/>
          <w:szCs w:val="32"/>
        </w:rPr>
        <w:t>-</w:t>
      </w:r>
      <w:r>
        <w:rPr>
          <w:rFonts w:eastAsia="仿宋_GB2312"/>
          <w:sz w:val="32"/>
          <w:szCs w:val="32"/>
        </w:rPr>
        <w:t>1层砂壤土：灰色</w:t>
      </w:r>
      <w:r>
        <w:rPr>
          <w:rFonts w:hint="eastAsia" w:eastAsia="仿宋_GB2312"/>
          <w:sz w:val="32"/>
          <w:szCs w:val="32"/>
        </w:rPr>
        <w:t>-</w:t>
      </w:r>
      <w:r>
        <w:rPr>
          <w:rFonts w:eastAsia="仿宋_GB2312"/>
          <w:sz w:val="32"/>
          <w:szCs w:val="32"/>
        </w:rPr>
        <w:t>灰黄色，湿，中密，摇震反应中等，韧性低，干强度低，切面无光泽，含云母碎屑，见锈染，夹壤土薄层，厚度：0.80</w:t>
      </w:r>
      <w:r>
        <w:rPr>
          <w:rFonts w:hint="eastAsia" w:eastAsia="仿宋_GB2312"/>
          <w:sz w:val="32"/>
          <w:szCs w:val="32"/>
        </w:rPr>
        <w:t>~</w:t>
      </w:r>
      <w:r>
        <w:rPr>
          <w:rFonts w:eastAsia="仿宋_GB2312"/>
          <w:sz w:val="32"/>
          <w:szCs w:val="32"/>
        </w:rPr>
        <w:t>2.90米。</w:t>
      </w:r>
      <w:r>
        <w:rPr>
          <w:sz w:val="32"/>
          <w:szCs w:val="32"/>
        </w:rPr>
        <w:t>④</w:t>
      </w:r>
      <w:r>
        <w:rPr>
          <w:rFonts w:eastAsia="仿宋_GB2312"/>
          <w:sz w:val="32"/>
          <w:szCs w:val="32"/>
        </w:rPr>
        <w:t>层中细砂：灰色</w:t>
      </w:r>
      <w:r>
        <w:rPr>
          <w:rFonts w:hint="eastAsia" w:eastAsia="仿宋_GB2312"/>
          <w:sz w:val="32"/>
          <w:szCs w:val="32"/>
        </w:rPr>
        <w:t>-</w:t>
      </w:r>
      <w:r>
        <w:rPr>
          <w:rFonts w:eastAsia="仿宋_GB2312"/>
          <w:sz w:val="32"/>
          <w:szCs w:val="32"/>
        </w:rPr>
        <w:t>灰黄色，饱和，中密，以石英、长石为主，夹砂壤土薄层。</w:t>
      </w:r>
    </w:p>
    <w:bookmarkEnd w:id="374"/>
    <w:bookmarkEnd w:id="375"/>
    <w:bookmarkEnd w:id="376"/>
    <w:p>
      <w:pPr>
        <w:pStyle w:val="4"/>
        <w:autoSpaceDN w:val="0"/>
        <w:snapToGrid w:val="0"/>
        <w:spacing w:line="590" w:lineRule="exact"/>
        <w:ind w:firstLine="643"/>
      </w:pPr>
      <w:bookmarkStart w:id="377" w:name="_Toc21720670"/>
      <w:r>
        <w:t>2.1.5气象气候</w:t>
      </w:r>
      <w:bookmarkEnd w:id="377"/>
    </w:p>
    <w:p>
      <w:pPr>
        <w:pStyle w:val="11"/>
        <w:autoSpaceDN w:val="0"/>
        <w:spacing w:line="590" w:lineRule="exact"/>
        <w:ind w:firstLine="640"/>
        <w:rPr>
          <w:rFonts w:eastAsia="仿宋_GB2312"/>
          <w:sz w:val="32"/>
          <w:szCs w:val="32"/>
        </w:rPr>
      </w:pPr>
      <w:r>
        <w:rPr>
          <w:rFonts w:eastAsia="仿宋_GB2312"/>
          <w:sz w:val="32"/>
          <w:szCs w:val="32"/>
        </w:rPr>
        <w:t>北运河流域属东亚暖温带大陆性季风气候区，四季分明。春季干旱多风，蒸发量大；夏季受海洋性气候及台风影响，炎热多雨，且降雨集中；秋季天高气爽，降雨稀少；冬季多北风，寒冷少雨雪。</w:t>
      </w:r>
    </w:p>
    <w:p>
      <w:pPr>
        <w:pStyle w:val="11"/>
        <w:autoSpaceDN w:val="0"/>
        <w:spacing w:line="590" w:lineRule="exact"/>
        <w:ind w:firstLine="640"/>
        <w:rPr>
          <w:rFonts w:eastAsia="仿宋_GB2312"/>
          <w:sz w:val="32"/>
          <w:szCs w:val="32"/>
        </w:rPr>
      </w:pPr>
      <w:r>
        <w:rPr>
          <w:rFonts w:eastAsia="仿宋_GB2312"/>
          <w:sz w:val="32"/>
          <w:szCs w:val="32"/>
        </w:rPr>
        <w:t>根据香河县气象站资料统计，多年平均气温11.2</w:t>
      </w:r>
      <w:r>
        <w:rPr>
          <w:sz w:val="32"/>
          <w:szCs w:val="32"/>
        </w:rPr>
        <w:t>℃</w:t>
      </w:r>
      <w:r>
        <w:rPr>
          <w:rFonts w:eastAsia="仿宋_GB2312"/>
          <w:sz w:val="32"/>
          <w:szCs w:val="32"/>
        </w:rPr>
        <w:t>，1月份温度最低，月平均气温</w:t>
      </w:r>
      <w:r>
        <w:rPr>
          <w:rFonts w:hint="eastAsia" w:eastAsia="仿宋_GB2312"/>
          <w:sz w:val="32"/>
          <w:szCs w:val="32"/>
        </w:rPr>
        <w:t>-</w:t>
      </w:r>
      <w:r>
        <w:rPr>
          <w:rFonts w:eastAsia="仿宋_GB2312"/>
          <w:sz w:val="32"/>
          <w:szCs w:val="32"/>
        </w:rPr>
        <w:t>10.5</w:t>
      </w:r>
      <w:r>
        <w:rPr>
          <w:sz w:val="32"/>
          <w:szCs w:val="32"/>
        </w:rPr>
        <w:t>℃</w:t>
      </w:r>
      <w:r>
        <w:rPr>
          <w:rFonts w:eastAsia="仿宋_GB2312"/>
          <w:sz w:val="32"/>
          <w:szCs w:val="32"/>
        </w:rPr>
        <w:t>，7月份温度最高，月平均气温30.7</w:t>
      </w:r>
      <w:r>
        <w:rPr>
          <w:sz w:val="32"/>
          <w:szCs w:val="32"/>
        </w:rPr>
        <w:t>℃</w:t>
      </w:r>
      <w:r>
        <w:rPr>
          <w:rFonts w:eastAsia="仿宋_GB2312"/>
          <w:sz w:val="32"/>
          <w:szCs w:val="32"/>
        </w:rPr>
        <w:t>。无霜期206天左右，最大冻土深度69厘米，年日照时数2696小时。最大风速达18米/秒，多为西北风，平均风速2.6米/秒。多年平均蒸发量1789毫米。多年平均降雨量600毫米左右，汛期降雨量占全年的80%左右，且多以暴雨形式出现在7、8月份，流域内观测到的最大24小时雨量为1972年7月27日枣树林降雨量479毫米。降雨年际变化明显，丰枯比达数倍之多。汛期内洪量较为集中，一般为一、两场大洪水所控制，最大30天洪量一般占汛期（6</w:t>
      </w:r>
      <w:r>
        <w:rPr>
          <w:rFonts w:hint="eastAsia" w:eastAsia="仿宋_GB2312"/>
          <w:sz w:val="32"/>
          <w:szCs w:val="32"/>
        </w:rPr>
        <w:t>—</w:t>
      </w:r>
      <w:r>
        <w:rPr>
          <w:rFonts w:eastAsia="仿宋_GB2312"/>
          <w:sz w:val="32"/>
          <w:szCs w:val="32"/>
        </w:rPr>
        <w:t>9月）洪水总量的75%左右，而7天洪量可占30天洪量的50%左右。</w:t>
      </w:r>
    </w:p>
    <w:bookmarkEnd w:id="367"/>
    <w:bookmarkEnd w:id="368"/>
    <w:bookmarkEnd w:id="369"/>
    <w:p>
      <w:pPr>
        <w:pStyle w:val="4"/>
        <w:autoSpaceDN w:val="0"/>
        <w:spacing w:line="590" w:lineRule="exact"/>
        <w:ind w:firstLine="643"/>
      </w:pPr>
      <w:bookmarkStart w:id="378" w:name="_Toc21720671"/>
      <w:bookmarkStart w:id="379" w:name="_Toc13185"/>
      <w:bookmarkStart w:id="380" w:name="_Toc460245344"/>
      <w:r>
        <w:t>2.1.6植被覆盖</w:t>
      </w:r>
      <w:bookmarkEnd w:id="378"/>
      <w:bookmarkEnd w:id="379"/>
      <w:bookmarkEnd w:id="380"/>
    </w:p>
    <w:p>
      <w:pPr>
        <w:pStyle w:val="11"/>
        <w:autoSpaceDN w:val="0"/>
        <w:spacing w:line="590" w:lineRule="exact"/>
        <w:ind w:firstLine="640"/>
        <w:rPr>
          <w:rFonts w:eastAsia="仿宋_GB2312"/>
          <w:sz w:val="32"/>
          <w:szCs w:val="32"/>
        </w:rPr>
      </w:pPr>
      <w:r>
        <w:rPr>
          <w:rFonts w:eastAsia="仿宋_GB2312"/>
          <w:sz w:val="32"/>
          <w:szCs w:val="32"/>
        </w:rPr>
        <w:t>北运河香河段范围内植被覆盖率较为适中，岸带以人工林为主，林下草本植物以菊科、禾本科为主，伴有其他少数种；河床及河道几乎没有水生植物生长。</w:t>
      </w:r>
    </w:p>
    <w:p>
      <w:pPr>
        <w:pStyle w:val="11"/>
        <w:autoSpaceDN w:val="0"/>
        <w:spacing w:line="590" w:lineRule="exact"/>
        <w:ind w:firstLine="616"/>
        <w:rPr>
          <w:rFonts w:eastAsia="仿宋_GB2312"/>
          <w:spacing w:val="-6"/>
          <w:sz w:val="32"/>
          <w:szCs w:val="32"/>
        </w:rPr>
      </w:pPr>
      <w:r>
        <w:rPr>
          <w:rFonts w:eastAsia="仿宋_GB2312"/>
          <w:spacing w:val="-6"/>
          <w:sz w:val="32"/>
          <w:szCs w:val="32"/>
        </w:rPr>
        <w:t>香河县北运河两岸多为农田，农业类型主要为粮食作物，但由于近年来管理部门的防洪意识和环保意识的增强，近河岸防护的人工林带不断增加。农业种植类型发生改变，出现了一定面积的苗木种植基地，形成经济作物产区，土地利用率降低。人工林及苗木种植加大了植被的覆盖率，同时林下草本植物自然生长，在一定程度上增加了植被覆盖率，有效控制部分面源污染情况。相较于河岸</w:t>
      </w:r>
      <w:r>
        <w:rPr>
          <w:rFonts w:hint="eastAsia" w:eastAsia="仿宋_GB2312"/>
          <w:spacing w:val="-6"/>
          <w:sz w:val="32"/>
          <w:szCs w:val="32"/>
        </w:rPr>
        <w:t>、</w:t>
      </w:r>
      <w:r>
        <w:rPr>
          <w:rFonts w:eastAsia="仿宋_GB2312"/>
          <w:spacing w:val="-6"/>
          <w:sz w:val="32"/>
          <w:szCs w:val="32"/>
        </w:rPr>
        <w:t>河道及河床几乎没有植被，河水自净过程也因此缺少了重要一环。通过水文及土壤地质等资料分析，造成这种现状的主要原因在于河床基质的问题：北运河香河段河床及河道基质以砂壤土为主，植被根系不易附着；另外北运河水流速较大，对植被和河床河道的冲刷作用较强，从而造成沉水植物和挺水植物不易生长，浮水植物更无法在水面停留。</w:t>
      </w:r>
    </w:p>
    <w:p>
      <w:pPr>
        <w:pStyle w:val="4"/>
        <w:autoSpaceDN w:val="0"/>
        <w:spacing w:line="590" w:lineRule="exact"/>
        <w:ind w:firstLine="643"/>
      </w:pPr>
      <w:bookmarkStart w:id="381" w:name="_Toc457204940"/>
      <w:bookmarkStart w:id="382" w:name="_Toc460245343"/>
      <w:bookmarkStart w:id="383" w:name="_Toc21720672"/>
      <w:r>
        <w:t>2.1.7水资源</w:t>
      </w:r>
      <w:bookmarkEnd w:id="381"/>
      <w:bookmarkEnd w:id="382"/>
      <w:bookmarkEnd w:id="383"/>
    </w:p>
    <w:p>
      <w:pPr>
        <w:autoSpaceDN w:val="0"/>
        <w:spacing w:line="590" w:lineRule="exact"/>
        <w:ind w:firstLine="640"/>
        <w:rPr>
          <w:rFonts w:eastAsia="仿宋_GB2312" w:cs="Times New Roman"/>
          <w:sz w:val="32"/>
          <w:szCs w:val="32"/>
        </w:rPr>
      </w:pPr>
      <w:r>
        <w:rPr>
          <w:rFonts w:eastAsia="仿宋_GB2312" w:cs="Times New Roman"/>
          <w:sz w:val="32"/>
          <w:szCs w:val="32"/>
        </w:rPr>
        <w:t>北运河所在廊坊市现状水资源主要以地下水资源为主，水资源总量呈逐年下降趋势。根据《2017年河北省水资源公报》，2017年廊坊市地表水资源总量为0.43亿立方米，地下水资源量5.47亿立方米，水资源总量5.83亿立方米，比多年平均值减少2.21亿立方米，属于枯水年份。廊坊市属于极度缺水地区，其中2017年的人均水资源量仅为123立方米，低于河北省的人均水资源量179亿立方米。</w:t>
      </w:r>
    </w:p>
    <w:bookmarkEnd w:id="362"/>
    <w:bookmarkEnd w:id="363"/>
    <w:bookmarkEnd w:id="364"/>
    <w:p>
      <w:pPr>
        <w:pStyle w:val="3"/>
        <w:autoSpaceDN w:val="0"/>
        <w:snapToGrid w:val="0"/>
        <w:spacing w:line="590" w:lineRule="exact"/>
        <w:ind w:firstLine="643"/>
        <w:rPr>
          <w:rFonts w:eastAsia="楷体_GB2312"/>
          <w:bCs w:val="0"/>
        </w:rPr>
      </w:pPr>
      <w:bookmarkStart w:id="384" w:name="_Toc14081"/>
      <w:bookmarkStart w:id="385" w:name="_Toc1933"/>
      <w:bookmarkStart w:id="386" w:name="_Toc460245346"/>
      <w:bookmarkStart w:id="387" w:name="_Toc21720673"/>
      <w:r>
        <w:rPr>
          <w:rFonts w:eastAsia="楷体_GB2312"/>
          <w:bCs w:val="0"/>
        </w:rPr>
        <w:t>2.2经济社会</w:t>
      </w:r>
      <w:bookmarkEnd w:id="384"/>
      <w:bookmarkEnd w:id="385"/>
      <w:bookmarkEnd w:id="386"/>
      <w:bookmarkEnd w:id="387"/>
    </w:p>
    <w:p>
      <w:pPr>
        <w:pStyle w:val="4"/>
        <w:autoSpaceDN w:val="0"/>
        <w:snapToGrid w:val="0"/>
        <w:spacing w:line="590" w:lineRule="exact"/>
        <w:ind w:firstLine="643"/>
        <w:rPr>
          <w:bCs w:val="0"/>
          <w:spacing w:val="-6"/>
        </w:rPr>
      </w:pPr>
      <w:bookmarkStart w:id="388" w:name="_Toc21720674"/>
      <w:r>
        <w:t>2.2.1行政区划和人口</w:t>
      </w:r>
      <w:bookmarkEnd w:id="388"/>
    </w:p>
    <w:p>
      <w:pPr>
        <w:pStyle w:val="11"/>
        <w:autoSpaceDN w:val="0"/>
        <w:snapToGrid w:val="0"/>
        <w:spacing w:line="590" w:lineRule="exact"/>
        <w:ind w:firstLine="640"/>
        <w:rPr>
          <w:rFonts w:eastAsia="仿宋_GB2312"/>
          <w:sz w:val="32"/>
          <w:szCs w:val="32"/>
        </w:rPr>
      </w:pPr>
      <w:r>
        <w:rPr>
          <w:rFonts w:eastAsia="仿宋_GB2312"/>
          <w:sz w:val="32"/>
          <w:szCs w:val="32"/>
        </w:rPr>
        <w:t>香河县位于华北平原中北部，海河流域核心区域，上游与北京通州区相连接，下游为天津市，地处北纬39°36′至39°51′，东经116°52′至117°11′，东邻天津市宝坻区，南接天津市武清区，西连北京市通州区，北与廊坊</w:t>
      </w:r>
      <w:r>
        <w:rPr>
          <w:rFonts w:hint="eastAsia" w:eastAsia="仿宋_GB2312"/>
          <w:sz w:val="32"/>
          <w:szCs w:val="32"/>
        </w:rPr>
        <w:t>市</w:t>
      </w:r>
      <w:r>
        <w:rPr>
          <w:rFonts w:eastAsia="仿宋_GB2312"/>
          <w:sz w:val="32"/>
          <w:szCs w:val="32"/>
        </w:rPr>
        <w:t>大厂县和三河市相邻，地理位置得天独厚，素有“京畿明珠”之美誉。全县下辖淑阳镇、蒋辛屯镇、渠口镇、安平镇、安头屯镇、五百户镇、刘宋镇、钱旺镇和钳屯镇9个镇区，新开社区办、新华社区办、平安社区办3个社区办，</w:t>
      </w:r>
      <w:r>
        <w:rPr>
          <w:rFonts w:hint="eastAsia" w:eastAsia="仿宋_GB2312"/>
          <w:sz w:val="32"/>
          <w:szCs w:val="32"/>
        </w:rPr>
        <w:t>1</w:t>
      </w:r>
      <w:r>
        <w:rPr>
          <w:rFonts w:eastAsia="仿宋_GB2312"/>
          <w:sz w:val="32"/>
          <w:szCs w:val="32"/>
        </w:rPr>
        <w:t>个开发区即香河经济技术开发区（包括环保产业园、新型产业园、智能制造园3个园区），300个行政村，总面积448km</w:t>
      </w:r>
      <w:r>
        <w:rPr>
          <w:rFonts w:eastAsia="仿宋_GB2312"/>
          <w:sz w:val="32"/>
          <w:szCs w:val="32"/>
          <w:vertAlign w:val="superscript"/>
        </w:rPr>
        <w:t>2</w:t>
      </w:r>
      <w:r>
        <w:rPr>
          <w:rFonts w:eastAsia="仿宋_GB2312"/>
          <w:sz w:val="32"/>
          <w:szCs w:val="32"/>
        </w:rPr>
        <w:t>，总人口37.4万。</w:t>
      </w:r>
    </w:p>
    <w:p>
      <w:pPr>
        <w:shd w:val="clear" w:color="auto" w:fill="FFFFFF"/>
        <w:autoSpaceDN w:val="0"/>
        <w:snapToGrid w:val="0"/>
        <w:spacing w:before="240" w:beforeLines="100" w:after="120" w:afterLines="50" w:line="240" w:lineRule="auto"/>
        <w:ind w:firstLine="0" w:firstLineChars="0"/>
        <w:rPr>
          <w:rFonts w:ascii="黑体" w:hAnsi="黑体" w:eastAsia="黑体" w:cs="Times New Roman"/>
          <w:sz w:val="32"/>
          <w:szCs w:val="32"/>
        </w:rPr>
      </w:pPr>
      <w:r>
        <w:rPr>
          <w:rFonts w:ascii="黑体" w:hAnsi="黑体" w:eastAsia="黑体" w:cs="Times New Roman"/>
          <w:bCs/>
          <w:sz w:val="32"/>
          <w:szCs w:val="32"/>
        </w:rPr>
        <w:t>表2</w:t>
      </w:r>
      <w:r>
        <w:rPr>
          <w:rFonts w:hint="eastAsia" w:eastAsia="仿宋_GB2312"/>
          <w:sz w:val="32"/>
          <w:szCs w:val="32"/>
        </w:rPr>
        <w:t>-</w:t>
      </w:r>
      <w:r>
        <w:rPr>
          <w:rFonts w:ascii="黑体" w:hAnsi="黑体" w:eastAsia="黑体" w:cs="Times New Roman"/>
          <w:bCs/>
          <w:sz w:val="32"/>
          <w:szCs w:val="32"/>
        </w:rPr>
        <w:t>2 廊坊市北运河流域香河县所涉主要镇区面积与人口情况</w:t>
      </w:r>
    </w:p>
    <w:tbl>
      <w:tblPr>
        <w:tblStyle w:val="9"/>
        <w:tblW w:w="8747" w:type="dxa"/>
        <w:jc w:val="center"/>
        <w:tblInd w:w="192" w:type="dxa"/>
        <w:tblLayout w:type="fixed"/>
        <w:tblCellMar>
          <w:top w:w="0" w:type="dxa"/>
          <w:left w:w="108" w:type="dxa"/>
          <w:bottom w:w="0" w:type="dxa"/>
          <w:right w:w="108" w:type="dxa"/>
        </w:tblCellMar>
      </w:tblPr>
      <w:tblGrid>
        <w:gridCol w:w="1703"/>
        <w:gridCol w:w="1895"/>
        <w:gridCol w:w="1864"/>
        <w:gridCol w:w="1630"/>
        <w:gridCol w:w="1655"/>
      </w:tblGrid>
      <w:tr>
        <w:tblPrEx>
          <w:tblLayout w:type="fixed"/>
          <w:tblCellMar>
            <w:top w:w="0" w:type="dxa"/>
            <w:left w:w="108" w:type="dxa"/>
            <w:bottom w:w="0" w:type="dxa"/>
            <w:right w:w="108" w:type="dxa"/>
          </w:tblCellMar>
        </w:tblPrEx>
        <w:trPr>
          <w:trHeight w:val="609" w:hRule="atLeast"/>
          <w:jc w:val="center"/>
        </w:trPr>
        <w:tc>
          <w:tcPr>
            <w:tcW w:w="170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bCs/>
                <w:kern w:val="0"/>
                <w:szCs w:val="21"/>
              </w:rPr>
            </w:pPr>
            <w:r>
              <w:rPr>
                <w:rFonts w:eastAsia="仿宋_GB2312" w:cs="Times New Roman"/>
                <w:b/>
                <w:bCs/>
                <w:kern w:val="0"/>
                <w:szCs w:val="21"/>
              </w:rPr>
              <w:t>乡镇</w:t>
            </w:r>
          </w:p>
        </w:tc>
        <w:tc>
          <w:tcPr>
            <w:tcW w:w="1895"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bCs/>
                <w:kern w:val="0"/>
                <w:szCs w:val="21"/>
              </w:rPr>
            </w:pPr>
            <w:r>
              <w:rPr>
                <w:rFonts w:eastAsia="仿宋_GB2312" w:cs="Times New Roman"/>
                <w:b/>
                <w:bCs/>
                <w:kern w:val="0"/>
                <w:szCs w:val="21"/>
              </w:rPr>
              <w:t>所属区县</w:t>
            </w:r>
          </w:p>
        </w:tc>
        <w:tc>
          <w:tcPr>
            <w:tcW w:w="1864"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bCs/>
                <w:kern w:val="0"/>
                <w:szCs w:val="21"/>
              </w:rPr>
            </w:pPr>
            <w:r>
              <w:rPr>
                <w:rFonts w:eastAsia="仿宋_GB2312" w:cs="Times New Roman"/>
                <w:b/>
                <w:bCs/>
                <w:kern w:val="0"/>
                <w:szCs w:val="21"/>
              </w:rPr>
              <w:t>面积（km</w:t>
            </w:r>
            <w:r>
              <w:rPr>
                <w:rFonts w:eastAsia="仿宋_GB2312" w:cs="Times New Roman"/>
                <w:b/>
                <w:bCs/>
                <w:kern w:val="0"/>
                <w:szCs w:val="21"/>
                <w:vertAlign w:val="superscript"/>
              </w:rPr>
              <w:t>2</w:t>
            </w:r>
            <w:r>
              <w:rPr>
                <w:rFonts w:eastAsia="仿宋_GB2312" w:cs="Times New Roman"/>
                <w:b/>
                <w:bCs/>
                <w:kern w:val="0"/>
                <w:szCs w:val="21"/>
              </w:rPr>
              <w:t>）</w:t>
            </w:r>
          </w:p>
        </w:tc>
        <w:tc>
          <w:tcPr>
            <w:tcW w:w="1630"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bCs/>
                <w:kern w:val="0"/>
                <w:szCs w:val="21"/>
              </w:rPr>
            </w:pPr>
            <w:r>
              <w:rPr>
                <w:rFonts w:eastAsia="仿宋_GB2312" w:cs="Times New Roman"/>
                <w:b/>
                <w:bCs/>
                <w:kern w:val="0"/>
                <w:szCs w:val="21"/>
              </w:rPr>
              <w:t>人口（万人）</w:t>
            </w:r>
          </w:p>
        </w:tc>
        <w:tc>
          <w:tcPr>
            <w:tcW w:w="1655"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bCs/>
                <w:kern w:val="0"/>
                <w:szCs w:val="21"/>
              </w:rPr>
            </w:pPr>
            <w:r>
              <w:rPr>
                <w:rFonts w:eastAsia="仿宋_GB2312" w:cs="Times New Roman"/>
                <w:b/>
                <w:bCs/>
                <w:kern w:val="0"/>
                <w:szCs w:val="21"/>
              </w:rPr>
              <w:t>辖区</w:t>
            </w:r>
          </w:p>
        </w:tc>
      </w:tr>
      <w:tr>
        <w:tblPrEx>
          <w:tblLayout w:type="fixed"/>
          <w:tblCellMar>
            <w:top w:w="0" w:type="dxa"/>
            <w:left w:w="108" w:type="dxa"/>
            <w:bottom w:w="0" w:type="dxa"/>
            <w:right w:w="108" w:type="dxa"/>
          </w:tblCellMar>
        </w:tblPrEx>
        <w:trPr>
          <w:trHeight w:val="599" w:hRule="atLeast"/>
          <w:jc w:val="center"/>
        </w:trPr>
        <w:tc>
          <w:tcPr>
            <w:tcW w:w="170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淑阳镇</w:t>
            </w:r>
          </w:p>
        </w:tc>
        <w:tc>
          <w:tcPr>
            <w:tcW w:w="189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香河县</w:t>
            </w:r>
          </w:p>
        </w:tc>
        <w:tc>
          <w:tcPr>
            <w:tcW w:w="18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25.66</w:t>
            </w:r>
          </w:p>
        </w:tc>
        <w:tc>
          <w:tcPr>
            <w:tcW w:w="16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2.6</w:t>
            </w:r>
          </w:p>
        </w:tc>
        <w:tc>
          <w:tcPr>
            <w:tcW w:w="165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行政村28个</w:t>
            </w:r>
          </w:p>
        </w:tc>
      </w:tr>
      <w:tr>
        <w:tblPrEx>
          <w:tblLayout w:type="fixed"/>
          <w:tblCellMar>
            <w:top w:w="0" w:type="dxa"/>
            <w:left w:w="108" w:type="dxa"/>
            <w:bottom w:w="0" w:type="dxa"/>
            <w:right w:w="108" w:type="dxa"/>
          </w:tblCellMar>
        </w:tblPrEx>
        <w:trPr>
          <w:trHeight w:val="570" w:hRule="atLeast"/>
          <w:jc w:val="center"/>
        </w:trPr>
        <w:tc>
          <w:tcPr>
            <w:tcW w:w="170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蒋辛屯镇</w:t>
            </w:r>
          </w:p>
        </w:tc>
        <w:tc>
          <w:tcPr>
            <w:tcW w:w="189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香河县</w:t>
            </w:r>
          </w:p>
        </w:tc>
        <w:tc>
          <w:tcPr>
            <w:tcW w:w="18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32.88</w:t>
            </w:r>
          </w:p>
        </w:tc>
        <w:tc>
          <w:tcPr>
            <w:tcW w:w="16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2.3</w:t>
            </w:r>
          </w:p>
        </w:tc>
        <w:tc>
          <w:tcPr>
            <w:tcW w:w="165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行政村18个</w:t>
            </w:r>
          </w:p>
        </w:tc>
      </w:tr>
      <w:tr>
        <w:tblPrEx>
          <w:tblLayout w:type="fixed"/>
          <w:tblCellMar>
            <w:top w:w="0" w:type="dxa"/>
            <w:left w:w="108" w:type="dxa"/>
            <w:bottom w:w="0" w:type="dxa"/>
            <w:right w:w="108" w:type="dxa"/>
          </w:tblCellMar>
        </w:tblPrEx>
        <w:trPr>
          <w:trHeight w:val="556" w:hRule="atLeast"/>
          <w:jc w:val="center"/>
        </w:trPr>
        <w:tc>
          <w:tcPr>
            <w:tcW w:w="170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渠口镇</w:t>
            </w:r>
          </w:p>
        </w:tc>
        <w:tc>
          <w:tcPr>
            <w:tcW w:w="189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香河县</w:t>
            </w:r>
          </w:p>
        </w:tc>
        <w:tc>
          <w:tcPr>
            <w:tcW w:w="18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64.75</w:t>
            </w:r>
          </w:p>
        </w:tc>
        <w:tc>
          <w:tcPr>
            <w:tcW w:w="16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5</w:t>
            </w:r>
          </w:p>
        </w:tc>
        <w:tc>
          <w:tcPr>
            <w:tcW w:w="165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行政村48个</w:t>
            </w:r>
          </w:p>
        </w:tc>
      </w:tr>
      <w:tr>
        <w:tblPrEx>
          <w:tblLayout w:type="fixed"/>
          <w:tblCellMar>
            <w:top w:w="0" w:type="dxa"/>
            <w:left w:w="108" w:type="dxa"/>
            <w:bottom w:w="0" w:type="dxa"/>
            <w:right w:w="108" w:type="dxa"/>
          </w:tblCellMar>
        </w:tblPrEx>
        <w:trPr>
          <w:trHeight w:val="556" w:hRule="atLeast"/>
          <w:jc w:val="center"/>
        </w:trPr>
        <w:tc>
          <w:tcPr>
            <w:tcW w:w="170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安头屯镇</w:t>
            </w:r>
          </w:p>
        </w:tc>
        <w:tc>
          <w:tcPr>
            <w:tcW w:w="189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香河县</w:t>
            </w:r>
          </w:p>
        </w:tc>
        <w:tc>
          <w:tcPr>
            <w:tcW w:w="18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45.83</w:t>
            </w:r>
          </w:p>
        </w:tc>
        <w:tc>
          <w:tcPr>
            <w:tcW w:w="16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2.8</w:t>
            </w:r>
          </w:p>
        </w:tc>
        <w:tc>
          <w:tcPr>
            <w:tcW w:w="165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行政村21个</w:t>
            </w:r>
          </w:p>
        </w:tc>
      </w:tr>
      <w:tr>
        <w:tblPrEx>
          <w:tblLayout w:type="fixed"/>
          <w:tblCellMar>
            <w:top w:w="0" w:type="dxa"/>
            <w:left w:w="108" w:type="dxa"/>
            <w:bottom w:w="0" w:type="dxa"/>
            <w:right w:w="108" w:type="dxa"/>
          </w:tblCellMar>
        </w:tblPrEx>
        <w:trPr>
          <w:trHeight w:val="541" w:hRule="atLeast"/>
          <w:jc w:val="center"/>
        </w:trPr>
        <w:tc>
          <w:tcPr>
            <w:tcW w:w="170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安平镇</w:t>
            </w:r>
          </w:p>
        </w:tc>
        <w:tc>
          <w:tcPr>
            <w:tcW w:w="189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香河县</w:t>
            </w:r>
          </w:p>
        </w:tc>
        <w:tc>
          <w:tcPr>
            <w:tcW w:w="18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33.52</w:t>
            </w:r>
          </w:p>
        </w:tc>
        <w:tc>
          <w:tcPr>
            <w:tcW w:w="16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3.5</w:t>
            </w:r>
          </w:p>
        </w:tc>
        <w:tc>
          <w:tcPr>
            <w:tcW w:w="165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行政村29个</w:t>
            </w:r>
          </w:p>
        </w:tc>
      </w:tr>
      <w:tr>
        <w:tblPrEx>
          <w:tblLayout w:type="fixed"/>
          <w:tblCellMar>
            <w:top w:w="0" w:type="dxa"/>
            <w:left w:w="108" w:type="dxa"/>
            <w:bottom w:w="0" w:type="dxa"/>
            <w:right w:w="108" w:type="dxa"/>
          </w:tblCellMar>
        </w:tblPrEx>
        <w:trPr>
          <w:trHeight w:val="604" w:hRule="atLeast"/>
          <w:jc w:val="center"/>
        </w:trPr>
        <w:tc>
          <w:tcPr>
            <w:tcW w:w="170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刘宋镇</w:t>
            </w:r>
          </w:p>
        </w:tc>
        <w:tc>
          <w:tcPr>
            <w:tcW w:w="189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香河县</w:t>
            </w:r>
          </w:p>
        </w:tc>
        <w:tc>
          <w:tcPr>
            <w:tcW w:w="18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62.89</w:t>
            </w:r>
          </w:p>
        </w:tc>
        <w:tc>
          <w:tcPr>
            <w:tcW w:w="16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3.6</w:t>
            </w:r>
          </w:p>
        </w:tc>
        <w:tc>
          <w:tcPr>
            <w:tcW w:w="165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行政村25个</w:t>
            </w:r>
          </w:p>
        </w:tc>
      </w:tr>
      <w:tr>
        <w:tblPrEx>
          <w:tblLayout w:type="fixed"/>
          <w:tblCellMar>
            <w:top w:w="0" w:type="dxa"/>
            <w:left w:w="108" w:type="dxa"/>
            <w:bottom w:w="0" w:type="dxa"/>
            <w:right w:w="108" w:type="dxa"/>
          </w:tblCellMar>
        </w:tblPrEx>
        <w:trPr>
          <w:trHeight w:val="604" w:hRule="atLeast"/>
          <w:jc w:val="center"/>
        </w:trPr>
        <w:tc>
          <w:tcPr>
            <w:tcW w:w="170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五百户镇</w:t>
            </w:r>
          </w:p>
        </w:tc>
        <w:tc>
          <w:tcPr>
            <w:tcW w:w="1895"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香河县</w:t>
            </w:r>
          </w:p>
        </w:tc>
        <w:tc>
          <w:tcPr>
            <w:tcW w:w="1864"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61.99</w:t>
            </w:r>
          </w:p>
        </w:tc>
        <w:tc>
          <w:tcPr>
            <w:tcW w:w="1630"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3.8</w:t>
            </w:r>
          </w:p>
        </w:tc>
        <w:tc>
          <w:tcPr>
            <w:tcW w:w="1655"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行政村43个</w:t>
            </w:r>
          </w:p>
        </w:tc>
      </w:tr>
      <w:tr>
        <w:tblPrEx>
          <w:tblLayout w:type="fixed"/>
          <w:tblCellMar>
            <w:top w:w="0" w:type="dxa"/>
            <w:left w:w="108" w:type="dxa"/>
            <w:bottom w:w="0" w:type="dxa"/>
            <w:right w:w="108" w:type="dxa"/>
          </w:tblCellMar>
        </w:tblPrEx>
        <w:trPr>
          <w:trHeight w:val="604" w:hRule="atLeast"/>
          <w:jc w:val="center"/>
        </w:trPr>
        <w:tc>
          <w:tcPr>
            <w:tcW w:w="170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钱旺镇</w:t>
            </w:r>
          </w:p>
        </w:tc>
        <w:tc>
          <w:tcPr>
            <w:tcW w:w="1895"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香河县</w:t>
            </w:r>
          </w:p>
        </w:tc>
        <w:tc>
          <w:tcPr>
            <w:tcW w:w="1864"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36.51</w:t>
            </w:r>
          </w:p>
        </w:tc>
        <w:tc>
          <w:tcPr>
            <w:tcW w:w="1630"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2.7</w:t>
            </w:r>
          </w:p>
        </w:tc>
        <w:tc>
          <w:tcPr>
            <w:tcW w:w="1655"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行政村21个</w:t>
            </w:r>
          </w:p>
        </w:tc>
      </w:tr>
      <w:tr>
        <w:tblPrEx>
          <w:tblLayout w:type="fixed"/>
          <w:tblCellMar>
            <w:top w:w="0" w:type="dxa"/>
            <w:left w:w="108" w:type="dxa"/>
            <w:bottom w:w="0" w:type="dxa"/>
            <w:right w:w="108" w:type="dxa"/>
          </w:tblCellMar>
        </w:tblPrEx>
        <w:trPr>
          <w:trHeight w:val="604" w:hRule="atLeast"/>
          <w:jc w:val="center"/>
        </w:trPr>
        <w:tc>
          <w:tcPr>
            <w:tcW w:w="170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钳屯镇</w:t>
            </w:r>
          </w:p>
        </w:tc>
        <w:tc>
          <w:tcPr>
            <w:tcW w:w="1895"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香河县</w:t>
            </w:r>
          </w:p>
        </w:tc>
        <w:tc>
          <w:tcPr>
            <w:tcW w:w="1864"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31.4</w:t>
            </w:r>
          </w:p>
        </w:tc>
        <w:tc>
          <w:tcPr>
            <w:tcW w:w="1630"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1.9</w:t>
            </w:r>
          </w:p>
        </w:tc>
        <w:tc>
          <w:tcPr>
            <w:tcW w:w="1655"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Cs w:val="21"/>
              </w:rPr>
            </w:pPr>
            <w:r>
              <w:rPr>
                <w:rFonts w:eastAsia="仿宋_GB2312" w:cs="Times New Roman"/>
                <w:color w:val="000000"/>
                <w:kern w:val="0"/>
                <w:szCs w:val="21"/>
              </w:rPr>
              <w:t>行政村19个</w:t>
            </w:r>
          </w:p>
        </w:tc>
      </w:tr>
    </w:tbl>
    <w:p>
      <w:pPr>
        <w:pStyle w:val="4"/>
        <w:autoSpaceDN w:val="0"/>
        <w:adjustRightInd w:val="0"/>
        <w:snapToGrid w:val="0"/>
        <w:spacing w:line="590" w:lineRule="exact"/>
        <w:ind w:firstLine="643"/>
        <w:rPr>
          <w:bCs w:val="0"/>
          <w:spacing w:val="-6"/>
        </w:rPr>
      </w:pPr>
      <w:bookmarkStart w:id="389" w:name="_Toc21720675"/>
      <w:r>
        <w:t>2.2.2产业发展状况</w:t>
      </w:r>
      <w:bookmarkEnd w:id="389"/>
    </w:p>
    <w:p>
      <w:pPr>
        <w:pStyle w:val="11"/>
        <w:autoSpaceDN w:val="0"/>
        <w:adjustRightInd w:val="0"/>
        <w:snapToGrid w:val="0"/>
        <w:spacing w:line="590" w:lineRule="exact"/>
        <w:ind w:firstLine="640"/>
        <w:rPr>
          <w:rFonts w:eastAsia="仿宋_GB2312"/>
          <w:sz w:val="32"/>
          <w:szCs w:val="32"/>
        </w:rPr>
      </w:pPr>
      <w:r>
        <w:rPr>
          <w:rFonts w:eastAsia="仿宋_GB2312"/>
          <w:sz w:val="32"/>
          <w:szCs w:val="32"/>
        </w:rPr>
        <w:t>香河县境内及周边交通网络密集，拥有京秦、京山、京津、京九铁路和京哈、京津、京福、京广四条国家级公路干线，以及京沈、京沪、京津唐、京开、津保、京石六条高速公路干线，北京</w:t>
      </w:r>
      <w:r>
        <w:rPr>
          <w:rFonts w:hint="eastAsia" w:eastAsia="仿宋_GB2312"/>
          <w:sz w:val="32"/>
          <w:szCs w:val="32"/>
        </w:rPr>
        <w:t>市</w:t>
      </w:r>
      <w:r>
        <w:rPr>
          <w:rFonts w:eastAsia="仿宋_GB2312"/>
          <w:sz w:val="32"/>
          <w:szCs w:val="32"/>
        </w:rPr>
        <w:t>正在规划建设的“大七环”、京津轻轨铁路和第二条京津高速公路将在香河西侧通过，是京津冀地区交通枢纽与经济廊道的重要位置。</w:t>
      </w:r>
    </w:p>
    <w:p>
      <w:pPr>
        <w:pStyle w:val="11"/>
        <w:autoSpaceDN w:val="0"/>
        <w:adjustRightInd w:val="0"/>
        <w:snapToGrid w:val="0"/>
        <w:spacing w:line="590" w:lineRule="exact"/>
        <w:ind w:firstLine="640"/>
        <w:rPr>
          <w:rFonts w:eastAsia="仿宋_GB2312"/>
          <w:sz w:val="32"/>
          <w:szCs w:val="32"/>
        </w:rPr>
      </w:pPr>
      <w:r>
        <w:rPr>
          <w:rFonts w:eastAsia="仿宋_GB2312"/>
          <w:sz w:val="32"/>
          <w:szCs w:val="32"/>
        </w:rPr>
        <w:t>香河县主导产业为农业和现代新兴高技术产业。其中，区域农业以无公害肉鸭养殖为主；现代新兴高技术产业以电子信息、高端装备制造、新材料、新能源为主导。在产业间交互作用下，区域初步形成了兼具居住、休闲、现代服务业功能的综合产业新区。现阶段香河县的土地利用仍以农业种植为主，但种植模式不断改善，特别是以苗木基地为主的新兴产业发展迅速，领跑区域环保事业，也紧握了生态产业的发展先机。</w:t>
      </w:r>
    </w:p>
    <w:p>
      <w:pPr>
        <w:pStyle w:val="11"/>
        <w:autoSpaceDN w:val="0"/>
        <w:adjustRightInd w:val="0"/>
        <w:snapToGrid w:val="0"/>
        <w:spacing w:line="594" w:lineRule="exact"/>
        <w:ind w:firstLine="640"/>
        <w:rPr>
          <w:rFonts w:eastAsia="仿宋_GB2312"/>
          <w:sz w:val="32"/>
          <w:szCs w:val="32"/>
        </w:rPr>
      </w:pPr>
      <w:r>
        <w:rPr>
          <w:rFonts w:eastAsia="仿宋_GB2312"/>
          <w:sz w:val="32"/>
          <w:szCs w:val="32"/>
        </w:rPr>
        <w:t>2017年，全县地区生产总值完成250.8亿元，同比增长6.5%</w:t>
      </w:r>
      <w:r>
        <w:rPr>
          <w:rFonts w:hint="eastAsia" w:eastAsia="仿宋_GB2312"/>
          <w:sz w:val="32"/>
          <w:szCs w:val="32"/>
        </w:rPr>
        <w:t>。</w:t>
      </w:r>
      <w:r>
        <w:rPr>
          <w:rFonts w:eastAsia="仿宋_GB2312"/>
          <w:sz w:val="32"/>
          <w:szCs w:val="32"/>
        </w:rPr>
        <w:t>其中：第一产业实现增加值17.4亿元，同比增长1.1%；第二产业实现增加值126.4亿元，同比增长4.1%；第三产业实现增加值107亿元，同比增长10.1%。全县人均生产总值为67193元，同比增长5.2%。经济结构进一步优化，质量不断提高。从三次产业结构看，第一产业所占比重逐步下降，第二产业呈刚性支撑，第三产业快速发展，第一、二、三产业增加值占地区生产总值的比重由上年的7.8</w:t>
      </w:r>
      <w:r>
        <w:rPr>
          <w:rFonts w:hint="eastAsia" w:eastAsia="仿宋_GB2312"/>
          <w:sz w:val="32"/>
          <w:szCs w:val="32"/>
        </w:rPr>
        <w:t>:</w:t>
      </w:r>
      <w:r>
        <w:rPr>
          <w:rFonts w:eastAsia="仿宋_GB2312"/>
          <w:sz w:val="32"/>
          <w:szCs w:val="32"/>
        </w:rPr>
        <w:t>49.4</w:t>
      </w:r>
      <w:r>
        <w:rPr>
          <w:rFonts w:hint="eastAsia" w:eastAsia="仿宋_GB2312"/>
          <w:sz w:val="32"/>
          <w:szCs w:val="32"/>
        </w:rPr>
        <w:t>:</w:t>
      </w:r>
      <w:r>
        <w:rPr>
          <w:rFonts w:eastAsia="仿宋_GB2312"/>
          <w:sz w:val="32"/>
          <w:szCs w:val="32"/>
        </w:rPr>
        <w:t>42.8调整为6.9</w:t>
      </w:r>
      <w:r>
        <w:rPr>
          <w:rFonts w:hint="eastAsia" w:eastAsia="仿宋_GB2312"/>
          <w:sz w:val="32"/>
          <w:szCs w:val="32"/>
        </w:rPr>
        <w:t>:</w:t>
      </w:r>
      <w:r>
        <w:rPr>
          <w:rFonts w:eastAsia="仿宋_GB2312"/>
          <w:sz w:val="32"/>
          <w:szCs w:val="32"/>
        </w:rPr>
        <w:t>50.4</w:t>
      </w:r>
      <w:r>
        <w:rPr>
          <w:rFonts w:hint="eastAsia" w:eastAsia="仿宋_GB2312"/>
          <w:sz w:val="32"/>
          <w:szCs w:val="32"/>
        </w:rPr>
        <w:t>:</w:t>
      </w:r>
      <w:r>
        <w:rPr>
          <w:rFonts w:eastAsia="仿宋_GB2312"/>
          <w:sz w:val="32"/>
          <w:szCs w:val="32"/>
        </w:rPr>
        <w:t>42.7。财政收入占地区生产总值的比重达26.41%，比上年下降3.27个百分点。民营经济快速发展，2017年民营经济实现增加值175亿元，比上年增长6.2%，占地区生产总值比重的70.1%。民营经济实缴税金48.8亿元，同比增长4.3%，占全部财政收入比重的74%。</w:t>
      </w:r>
    </w:p>
    <w:p>
      <w:pPr>
        <w:pStyle w:val="11"/>
        <w:autoSpaceDN w:val="0"/>
        <w:adjustRightInd w:val="0"/>
        <w:snapToGrid w:val="0"/>
        <w:spacing w:line="594" w:lineRule="exact"/>
        <w:ind w:firstLine="640"/>
        <w:rPr>
          <w:rFonts w:eastAsia="仿宋_GB2312"/>
          <w:sz w:val="32"/>
          <w:szCs w:val="32"/>
        </w:rPr>
      </w:pPr>
      <w:r>
        <w:rPr>
          <w:rFonts w:eastAsia="仿宋_GB2312"/>
          <w:sz w:val="32"/>
          <w:szCs w:val="32"/>
        </w:rPr>
        <w:t>未来发展规划中，区域将积极打造香河片区成国家都市近郊现代农业发展先行区、京东地区乡村休闲旅游示范区、河北绿色田园、康居生活典型引导区和河北省农村面貌连片改造提升典范区。引进中信国安投资有限公司，并完成了以运河和第一城为依托的60km</w:t>
      </w:r>
      <w:r>
        <w:rPr>
          <w:rFonts w:eastAsia="仿宋_GB2312"/>
          <w:sz w:val="32"/>
          <w:szCs w:val="32"/>
          <w:vertAlign w:val="superscript"/>
        </w:rPr>
        <w:t>2</w:t>
      </w:r>
      <w:r>
        <w:rPr>
          <w:rFonts w:eastAsia="仿宋_GB2312"/>
          <w:sz w:val="32"/>
          <w:szCs w:val="32"/>
        </w:rPr>
        <w:t>规划，切实解放北运河沿线内生活力，通过防洪堤的改扩建、河道清淤疏浚、堤顶观光道路建设、污水治理和水质提升、鲁家务森林湿地公园、现代农业产业园区建设等项目综合建设北运河。未来五年，实现地区生产总值年均递增15%左右，财政收入年均递增25%以上，固定资产投资年均递增30%以上，城镇居民人均可支配收入、农民人均纯收入年均递增12%以上，单位生产总值能耗下降20%左右。</w:t>
      </w:r>
    </w:p>
    <w:p>
      <w:pPr>
        <w:pStyle w:val="2"/>
        <w:autoSpaceDN w:val="0"/>
        <w:adjustRightInd w:val="0"/>
        <w:snapToGrid w:val="0"/>
        <w:spacing w:line="594" w:lineRule="exact"/>
        <w:ind w:firstLine="640"/>
        <w:jc w:val="both"/>
        <w:rPr>
          <w:bCs w:val="0"/>
          <w:kern w:val="2"/>
          <w:szCs w:val="32"/>
        </w:rPr>
      </w:pPr>
      <w:bookmarkStart w:id="390" w:name="_Toc460430326"/>
      <w:bookmarkStart w:id="391" w:name="_Toc21720676"/>
      <w:r>
        <w:rPr>
          <w:bCs w:val="0"/>
          <w:kern w:val="2"/>
          <w:szCs w:val="32"/>
        </w:rPr>
        <w:t>三、水环境</w:t>
      </w:r>
      <w:bookmarkEnd w:id="390"/>
      <w:r>
        <w:rPr>
          <w:bCs w:val="0"/>
          <w:kern w:val="2"/>
          <w:szCs w:val="32"/>
        </w:rPr>
        <w:t>形势状况分析</w:t>
      </w:r>
      <w:bookmarkEnd w:id="391"/>
    </w:p>
    <w:p>
      <w:pPr>
        <w:pStyle w:val="3"/>
        <w:autoSpaceDN w:val="0"/>
        <w:snapToGrid w:val="0"/>
        <w:spacing w:line="594" w:lineRule="exact"/>
        <w:ind w:firstLine="643"/>
        <w:rPr>
          <w:rFonts w:eastAsia="楷体_GB2312"/>
          <w:bCs w:val="0"/>
        </w:rPr>
      </w:pPr>
      <w:bookmarkStart w:id="392" w:name="_Toc21720677"/>
      <w:r>
        <w:rPr>
          <w:rFonts w:eastAsia="楷体_GB2312"/>
          <w:bCs w:val="0"/>
        </w:rPr>
        <w:t>3.1水质断面考核要求</w:t>
      </w:r>
      <w:bookmarkEnd w:id="392"/>
    </w:p>
    <w:p>
      <w:pPr>
        <w:pStyle w:val="11"/>
        <w:autoSpaceDN w:val="0"/>
        <w:adjustRightInd w:val="0"/>
        <w:snapToGrid w:val="0"/>
        <w:spacing w:line="594" w:lineRule="exact"/>
        <w:ind w:firstLine="640"/>
        <w:rPr>
          <w:rFonts w:eastAsia="仿宋_GB2312"/>
          <w:sz w:val="32"/>
          <w:szCs w:val="32"/>
        </w:rPr>
      </w:pPr>
      <w:r>
        <w:rPr>
          <w:rFonts w:eastAsia="仿宋_GB2312"/>
          <w:sz w:val="32"/>
          <w:szCs w:val="32"/>
        </w:rPr>
        <w:t>北运河廊坊市香河段水质国控考核断面为土门楼断面，考核目标为氨氮≤4mg/L，其他指标稳定达到V类。此外，北运河支流小友垡排干渠入北运河口断面是“十三五”廊坊市市控断面，水质目标为氨氮≤4mg/L，其他指标为V类。</w:t>
      </w:r>
    </w:p>
    <w:p>
      <w:pPr>
        <w:pStyle w:val="11"/>
        <w:autoSpaceDN w:val="0"/>
        <w:adjustRightInd w:val="0"/>
        <w:snapToGrid w:val="0"/>
        <w:spacing w:line="590" w:lineRule="exact"/>
        <w:ind w:firstLine="640"/>
        <w:rPr>
          <w:rFonts w:eastAsia="仿宋_GB2312"/>
          <w:sz w:val="32"/>
          <w:szCs w:val="32"/>
        </w:rPr>
      </w:pPr>
      <w:r>
        <w:rPr>
          <w:rFonts w:eastAsia="仿宋_GB2312"/>
          <w:sz w:val="32"/>
          <w:szCs w:val="32"/>
        </w:rPr>
        <w:t>国控断面水质评价数据采用国家监测数据，其他断面水质评价数据采用廊坊市监测数据。水质评价采用单因子标准指数法进行评价，评价指标与方法参考《地表水环境质量评价办法》（环办〔2011〕22号）、《地表水环境质量标准》（GB3838</w:t>
      </w:r>
      <w:r>
        <w:rPr>
          <w:rFonts w:hint="eastAsia" w:eastAsia="仿宋_GB2312"/>
          <w:sz w:val="32"/>
          <w:szCs w:val="32"/>
        </w:rPr>
        <w:t>—</w:t>
      </w:r>
      <w:r>
        <w:rPr>
          <w:rFonts w:eastAsia="仿宋_GB2312"/>
          <w:sz w:val="32"/>
          <w:szCs w:val="32"/>
        </w:rPr>
        <w:t>2002）的有关内容。</w:t>
      </w:r>
    </w:p>
    <w:p>
      <w:pPr>
        <w:pStyle w:val="3"/>
        <w:autoSpaceDN w:val="0"/>
        <w:snapToGrid w:val="0"/>
        <w:spacing w:line="590" w:lineRule="exact"/>
        <w:ind w:firstLine="643"/>
        <w:rPr>
          <w:rFonts w:eastAsia="楷体_GB2312"/>
          <w:bCs w:val="0"/>
        </w:rPr>
      </w:pPr>
      <w:bookmarkStart w:id="393" w:name="_Toc21720678"/>
      <w:bookmarkStart w:id="394" w:name="_Toc454455859"/>
      <w:bookmarkStart w:id="395" w:name="_Toc460430329"/>
      <w:bookmarkStart w:id="396" w:name="_Toc458373080"/>
      <w:r>
        <w:rPr>
          <w:rFonts w:eastAsia="楷体_GB2312"/>
          <w:bCs w:val="0"/>
        </w:rPr>
        <w:t>3.2方案实施前水质状况</w:t>
      </w:r>
      <w:bookmarkEnd w:id="393"/>
    </w:p>
    <w:bookmarkEnd w:id="394"/>
    <w:bookmarkEnd w:id="395"/>
    <w:bookmarkEnd w:id="396"/>
    <w:p>
      <w:pPr>
        <w:autoSpaceDN w:val="0"/>
        <w:adjustRightInd w:val="0"/>
        <w:snapToGrid w:val="0"/>
        <w:spacing w:line="590" w:lineRule="exact"/>
        <w:ind w:firstLine="624"/>
        <w:rPr>
          <w:rFonts w:eastAsia="仿宋_GB2312" w:cs="Times New Roman"/>
          <w:spacing w:val="-4"/>
          <w:sz w:val="32"/>
          <w:szCs w:val="32"/>
        </w:rPr>
      </w:pPr>
      <w:r>
        <w:rPr>
          <w:rFonts w:eastAsia="仿宋_GB2312" w:cs="Times New Roman"/>
          <w:spacing w:val="-4"/>
          <w:sz w:val="32"/>
          <w:szCs w:val="32"/>
        </w:rPr>
        <w:t>根据原廊坊市环境保护局发布的《廊坊市地表水环境质量公报》（2014</w:t>
      </w:r>
      <w:r>
        <w:rPr>
          <w:rFonts w:hint="eastAsia" w:eastAsia="仿宋_GB2312" w:cs="Times New Roman"/>
          <w:spacing w:val="-4"/>
          <w:sz w:val="32"/>
          <w:szCs w:val="32"/>
        </w:rPr>
        <w:t>—</w:t>
      </w:r>
      <w:r>
        <w:rPr>
          <w:rFonts w:eastAsia="仿宋_GB2312" w:cs="Times New Roman"/>
          <w:spacing w:val="-4"/>
          <w:sz w:val="32"/>
          <w:szCs w:val="32"/>
        </w:rPr>
        <w:t>2015），达标方案编制和实施前，北运河香河段入境断面王家摆断面、出境断面土门楼断面，以及主要支流凤港减河入境断面COD、氨氮和总磷水质状况具体如表3</w:t>
      </w:r>
      <w:r>
        <w:rPr>
          <w:rFonts w:hint="eastAsia" w:eastAsia="仿宋_GB2312"/>
          <w:sz w:val="32"/>
          <w:szCs w:val="32"/>
        </w:rPr>
        <w:t>-</w:t>
      </w:r>
      <w:r>
        <w:rPr>
          <w:rFonts w:eastAsia="仿宋_GB2312" w:cs="Times New Roman"/>
          <w:spacing w:val="-4"/>
          <w:sz w:val="32"/>
          <w:szCs w:val="32"/>
        </w:rPr>
        <w:t>1、表3</w:t>
      </w:r>
      <w:r>
        <w:rPr>
          <w:rFonts w:hint="eastAsia" w:eastAsia="仿宋_GB2312"/>
          <w:sz w:val="32"/>
          <w:szCs w:val="32"/>
        </w:rPr>
        <w:t>-</w:t>
      </w:r>
      <w:r>
        <w:rPr>
          <w:rFonts w:eastAsia="仿宋_GB2312" w:cs="Times New Roman"/>
          <w:spacing w:val="-4"/>
          <w:sz w:val="32"/>
          <w:szCs w:val="32"/>
        </w:rPr>
        <w:t>2所示。</w:t>
      </w:r>
    </w:p>
    <w:p>
      <w:pPr>
        <w:autoSpaceDN w:val="0"/>
        <w:spacing w:before="240" w:beforeLines="100" w:after="192" w:afterLines="80" w:line="240" w:lineRule="auto"/>
        <w:ind w:firstLine="0" w:firstLineChars="0"/>
        <w:jc w:val="center"/>
        <w:rPr>
          <w:rFonts w:ascii="黑体" w:hAnsi="黑体" w:eastAsia="黑体" w:cs="Times New Roman"/>
          <w:bCs/>
          <w:sz w:val="32"/>
          <w:szCs w:val="32"/>
        </w:rPr>
      </w:pPr>
      <w:r>
        <w:rPr>
          <w:rFonts w:ascii="黑体" w:hAnsi="黑体" w:eastAsia="黑体" w:cs="Times New Roman"/>
          <w:bCs/>
          <w:sz w:val="32"/>
          <w:szCs w:val="32"/>
        </w:rPr>
        <w:t>表3</w:t>
      </w:r>
      <w:r>
        <w:rPr>
          <w:rFonts w:hint="eastAsia" w:eastAsia="仿宋_GB2312"/>
          <w:sz w:val="32"/>
          <w:szCs w:val="32"/>
        </w:rPr>
        <w:t>-</w:t>
      </w:r>
      <w:r>
        <w:rPr>
          <w:rFonts w:ascii="黑体" w:hAnsi="黑体" w:eastAsia="黑体" w:cs="Times New Roman"/>
          <w:bCs/>
          <w:sz w:val="32"/>
          <w:szCs w:val="32"/>
        </w:rPr>
        <w:t>1　达标方案实施前2014</w:t>
      </w:r>
      <w:r>
        <w:rPr>
          <w:rFonts w:hint="eastAsia" w:ascii="黑体" w:hAnsi="黑体" w:eastAsia="黑体" w:cs="Times New Roman"/>
          <w:sz w:val="32"/>
          <w:szCs w:val="32"/>
        </w:rPr>
        <w:t>—</w:t>
      </w:r>
      <w:r>
        <w:rPr>
          <w:rFonts w:ascii="黑体" w:hAnsi="黑体" w:eastAsia="黑体" w:cs="Times New Roman"/>
          <w:bCs/>
          <w:sz w:val="32"/>
          <w:szCs w:val="32"/>
        </w:rPr>
        <w:t>2015年北运河水质监测数据</w:t>
      </w:r>
    </w:p>
    <w:tbl>
      <w:tblPr>
        <w:tblStyle w:val="9"/>
        <w:tblW w:w="8800" w:type="dxa"/>
        <w:jc w:val="center"/>
        <w:tblInd w:w="145"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75"/>
        <w:gridCol w:w="848"/>
        <w:gridCol w:w="1187"/>
        <w:gridCol w:w="1190"/>
        <w:gridCol w:w="1189"/>
        <w:gridCol w:w="1188"/>
        <w:gridCol w:w="1189"/>
        <w:gridCol w:w="1134"/>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822" w:hRule="atLeast"/>
          <w:jc w:val="center"/>
        </w:trPr>
        <w:tc>
          <w:tcPr>
            <w:tcW w:w="875" w:type="dxa"/>
            <w:vMerge w:val="restart"/>
            <w:tcBorders>
              <w:top w:val="single" w:color="auto" w:sz="4" w:space="0"/>
              <w:left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年</w:t>
            </w:r>
          </w:p>
        </w:tc>
        <w:tc>
          <w:tcPr>
            <w:tcW w:w="848" w:type="dxa"/>
            <w:vMerge w:val="restart"/>
            <w:tcBorders>
              <w:top w:val="single" w:color="auto" w:sz="4" w:space="0"/>
              <w:left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月</w:t>
            </w:r>
          </w:p>
        </w:tc>
        <w:tc>
          <w:tcPr>
            <w:tcW w:w="2377" w:type="dxa"/>
            <w:gridSpan w:val="2"/>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COD（mg/L）</w:t>
            </w:r>
          </w:p>
        </w:tc>
        <w:tc>
          <w:tcPr>
            <w:tcW w:w="2377" w:type="dxa"/>
            <w:gridSpan w:val="2"/>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NH</w:t>
            </w:r>
            <w:r>
              <w:rPr>
                <w:rFonts w:ascii="Times New Roman" w:hAnsi="Times New Roman" w:eastAsia="仿宋_GB2312" w:cs="Times New Roman"/>
                <w:b/>
                <w:szCs w:val="21"/>
                <w:vertAlign w:val="subscript"/>
              </w:rPr>
              <w:t>3</w:t>
            </w:r>
            <w:r>
              <w:rPr>
                <w:rFonts w:ascii="Times New Roman" w:hAnsi="Times New Roman" w:eastAsia="仿宋_GB2312" w:cs="Times New Roman"/>
                <w:b/>
                <w:szCs w:val="21"/>
              </w:rPr>
              <w:t>-N（mg/L）</w:t>
            </w:r>
          </w:p>
        </w:tc>
        <w:tc>
          <w:tcPr>
            <w:tcW w:w="2323" w:type="dxa"/>
            <w:gridSpan w:val="2"/>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TP（mg/L）</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986" w:hRule="atLeast"/>
          <w:jc w:val="center"/>
        </w:trPr>
        <w:tc>
          <w:tcPr>
            <w:tcW w:w="875" w:type="dxa"/>
            <w:vMerge w:val="continue"/>
            <w:tcBorders>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p>
        </w:tc>
        <w:tc>
          <w:tcPr>
            <w:tcW w:w="848" w:type="dxa"/>
            <w:vMerge w:val="continue"/>
            <w:tcBorders>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王家摆</w:t>
            </w:r>
          </w:p>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断面</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土门楼</w:t>
            </w:r>
          </w:p>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断面</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王家摆</w:t>
            </w:r>
          </w:p>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断面</w:t>
            </w:r>
          </w:p>
        </w:tc>
        <w:tc>
          <w:tcPr>
            <w:tcW w:w="118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土门楼</w:t>
            </w:r>
          </w:p>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断面</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王家摆</w:t>
            </w:r>
          </w:p>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断面</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土门楼</w:t>
            </w:r>
          </w:p>
          <w:p>
            <w:pPr>
              <w:pStyle w:val="12"/>
              <w:autoSpaceDN w:val="0"/>
              <w:spacing w:line="300" w:lineRule="exact"/>
              <w:ind w:leftChars="0" w:right="0" w:rightChars="0"/>
              <w:jc w:val="center"/>
              <w:rPr>
                <w:rFonts w:ascii="Times New Roman" w:hAnsi="Times New Roman" w:eastAsia="仿宋_GB2312" w:cs="Times New Roman"/>
                <w:b/>
                <w:szCs w:val="21"/>
              </w:rPr>
            </w:pPr>
            <w:r>
              <w:rPr>
                <w:rFonts w:ascii="Times New Roman" w:hAnsi="Times New Roman" w:eastAsia="仿宋_GB2312" w:cs="Times New Roman"/>
                <w:b/>
                <w:szCs w:val="21"/>
              </w:rPr>
              <w:t>断面</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2015</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12</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30</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9.8</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6.73</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0.63</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0.35</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2015</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11</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34</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断流</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9.23</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断流</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0.74</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断流</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2015</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8</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34</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24</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9.34</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5.58</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0.76</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0.79</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2015</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6</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41</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41</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13.0</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11.2</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1.00</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1.08</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2015</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4</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35</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62</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9.13</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10.9</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1.33</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3.08</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2015</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3</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12.5</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12.8</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0.586</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0.976</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2014</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11</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9.321</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0" w:firstLineChars="0"/>
              <w:jc w:val="right"/>
              <w:rPr>
                <w:rFonts w:eastAsia="仿宋_GB2312" w:cs="Times New Roman"/>
                <w:szCs w:val="21"/>
              </w:rPr>
            </w:pPr>
            <w:r>
              <w:rPr>
                <w:rFonts w:eastAsia="仿宋_GB2312" w:cs="Times New Roman"/>
                <w:szCs w:val="21"/>
              </w:rPr>
              <w:t>10.61</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0.65</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0.84</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cs="Times New Roman"/>
              </w:rPr>
            </w:pPr>
            <w:r>
              <w:rPr>
                <w:rFonts w:eastAsia="仿宋_GB2312" w:cs="Times New Roman"/>
                <w:szCs w:val="21"/>
              </w:rPr>
              <w:t>2014</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10</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9.36</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9.73</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0.84</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0.99</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cs="Times New Roman"/>
              </w:rPr>
            </w:pPr>
            <w:r>
              <w:rPr>
                <w:rFonts w:eastAsia="仿宋_GB2312" w:cs="Times New Roman"/>
                <w:szCs w:val="21"/>
              </w:rPr>
              <w:t>2014</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9</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8.55</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9.73</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1.32</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1.26</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cs="Times New Roman"/>
              </w:rPr>
            </w:pPr>
            <w:r>
              <w:rPr>
                <w:rFonts w:eastAsia="仿宋_GB2312" w:cs="Times New Roman"/>
                <w:szCs w:val="21"/>
              </w:rPr>
              <w:t>2014</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8</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43</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断流</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7.41</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断流</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1.22</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断流</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cs="Times New Roman"/>
              </w:rPr>
            </w:pPr>
            <w:r>
              <w:rPr>
                <w:rFonts w:eastAsia="仿宋_GB2312" w:cs="Times New Roman"/>
                <w:szCs w:val="21"/>
              </w:rPr>
              <w:t>2014</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7</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41</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41</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11.7</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11.1</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1.32</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1.11</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cs="Times New Roman"/>
              </w:rPr>
            </w:pPr>
            <w:r>
              <w:rPr>
                <w:rFonts w:eastAsia="仿宋_GB2312" w:cs="Times New Roman"/>
                <w:szCs w:val="21"/>
              </w:rPr>
              <w:t>2014</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6</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9.76</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9.6</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1.78</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1.7</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cs="Times New Roman"/>
              </w:rPr>
            </w:pPr>
            <w:r>
              <w:rPr>
                <w:rFonts w:eastAsia="仿宋_GB2312" w:cs="Times New Roman"/>
                <w:szCs w:val="21"/>
              </w:rPr>
              <w:t>2014</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5</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11.6</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11.1</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1.68</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1.63</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cs="Times New Roman"/>
              </w:rPr>
            </w:pPr>
            <w:r>
              <w:rPr>
                <w:rFonts w:eastAsia="仿宋_GB2312" w:cs="Times New Roman"/>
                <w:szCs w:val="21"/>
              </w:rPr>
              <w:t>2014</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4</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49</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45</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17.3</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15.4</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2.54</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875"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cs="Times New Roman"/>
              </w:rPr>
            </w:pPr>
            <w:r>
              <w:rPr>
                <w:rFonts w:eastAsia="仿宋_GB2312" w:cs="Times New Roman"/>
                <w:szCs w:val="21"/>
              </w:rPr>
              <w:t>2014</w:t>
            </w:r>
          </w:p>
        </w:tc>
        <w:tc>
          <w:tcPr>
            <w:tcW w:w="848"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3</w:t>
            </w:r>
          </w:p>
        </w:tc>
        <w:tc>
          <w:tcPr>
            <w:tcW w:w="1187"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43</w:t>
            </w:r>
          </w:p>
        </w:tc>
        <w:tc>
          <w:tcPr>
            <w:tcW w:w="1190"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＜28</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12.6</w:t>
            </w:r>
          </w:p>
        </w:tc>
        <w:tc>
          <w:tcPr>
            <w:tcW w:w="1188" w:type="dxa"/>
            <w:tcBorders>
              <w:top w:val="single" w:color="auto" w:sz="4" w:space="0"/>
              <w:left w:val="single" w:color="auto" w:sz="4" w:space="0"/>
              <w:bottom w:val="single" w:color="auto" w:sz="4" w:space="0"/>
              <w:right w:val="single" w:color="auto" w:sz="4" w:space="0"/>
            </w:tcBorders>
            <w:vAlign w:val="center"/>
          </w:tcPr>
          <w:p>
            <w:pPr>
              <w:autoSpaceDN w:val="0"/>
              <w:spacing w:line="300" w:lineRule="exact"/>
              <w:ind w:firstLine="480"/>
              <w:jc w:val="center"/>
              <w:rPr>
                <w:rFonts w:eastAsia="仿宋_GB2312" w:cs="Times New Roman"/>
                <w:szCs w:val="21"/>
              </w:rPr>
            </w:pPr>
            <w:r>
              <w:rPr>
                <w:rFonts w:eastAsia="仿宋_GB2312" w:cs="Times New Roman"/>
                <w:szCs w:val="21"/>
              </w:rPr>
              <w:t>11.2</w:t>
            </w:r>
          </w:p>
        </w:tc>
        <w:tc>
          <w:tcPr>
            <w:tcW w:w="1189"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2.02</w:t>
            </w:r>
          </w:p>
        </w:tc>
        <w:tc>
          <w:tcPr>
            <w:tcW w:w="1134" w:type="dxa"/>
            <w:tcBorders>
              <w:top w:val="single" w:color="auto" w:sz="4" w:space="0"/>
              <w:left w:val="single" w:color="auto" w:sz="4" w:space="0"/>
              <w:bottom w:val="single" w:color="auto" w:sz="4" w:space="0"/>
              <w:right w:val="single" w:color="auto" w:sz="4" w:space="0"/>
            </w:tcBorders>
            <w:vAlign w:val="center"/>
          </w:tcPr>
          <w:p>
            <w:pPr>
              <w:pStyle w:val="12"/>
              <w:autoSpaceDN w:val="0"/>
              <w:spacing w:line="300" w:lineRule="exact"/>
              <w:ind w:leftChars="0" w:right="0" w:rightChars="0"/>
              <w:jc w:val="center"/>
              <w:rPr>
                <w:rFonts w:ascii="Times New Roman" w:hAnsi="Times New Roman" w:eastAsia="仿宋_GB2312" w:cs="Times New Roman"/>
                <w:szCs w:val="21"/>
              </w:rPr>
            </w:pPr>
            <w:r>
              <w:rPr>
                <w:rFonts w:ascii="Times New Roman" w:hAnsi="Times New Roman" w:eastAsia="仿宋_GB2312" w:cs="Times New Roman"/>
                <w:szCs w:val="21"/>
              </w:rPr>
              <w:t>1.96</w:t>
            </w:r>
          </w:p>
        </w:tc>
      </w:tr>
    </w:tbl>
    <w:p>
      <w:pPr>
        <w:autoSpaceDN w:val="0"/>
        <w:spacing w:before="72" w:beforeLines="30" w:line="240" w:lineRule="auto"/>
        <w:ind w:firstLine="240" w:firstLineChars="100"/>
        <w:rPr>
          <w:rFonts w:hint="eastAsia" w:eastAsia="仿宋_GB2312" w:cs="Times New Roman"/>
          <w:szCs w:val="21"/>
        </w:rPr>
      </w:pPr>
      <w:r>
        <w:rPr>
          <w:rFonts w:eastAsia="仿宋_GB2312" w:cs="Times New Roman"/>
          <w:szCs w:val="21"/>
        </w:rPr>
        <w:t>注：历史监测资料中部分COD数据只表示为达标，参考历史COD数据，以小于28mg/L代替达标</w:t>
      </w:r>
    </w:p>
    <w:p>
      <w:pPr>
        <w:autoSpaceDN w:val="0"/>
        <w:spacing w:before="240" w:beforeLines="100" w:after="192" w:afterLines="80" w:line="240" w:lineRule="auto"/>
        <w:ind w:firstLine="0" w:firstLineChars="0"/>
        <w:jc w:val="center"/>
        <w:rPr>
          <w:rFonts w:ascii="黑体" w:hAnsi="黑体" w:eastAsia="黑体" w:cs="Times New Roman"/>
          <w:bCs/>
          <w:sz w:val="32"/>
          <w:szCs w:val="32"/>
        </w:rPr>
      </w:pPr>
      <w:r>
        <w:rPr>
          <w:rFonts w:ascii="黑体" w:hAnsi="黑体" w:eastAsia="黑体" w:cs="Times New Roman"/>
          <w:bCs/>
          <w:sz w:val="32"/>
          <w:szCs w:val="32"/>
        </w:rPr>
        <w:t>表3</w:t>
      </w:r>
      <w:r>
        <w:rPr>
          <w:rFonts w:hint="eastAsia" w:eastAsia="仿宋_GB2312"/>
          <w:sz w:val="32"/>
          <w:szCs w:val="32"/>
        </w:rPr>
        <w:t>-</w:t>
      </w:r>
      <w:r>
        <w:rPr>
          <w:rFonts w:ascii="黑体" w:hAnsi="黑体" w:eastAsia="黑体" w:cs="Times New Roman"/>
          <w:bCs/>
          <w:sz w:val="32"/>
          <w:szCs w:val="32"/>
        </w:rPr>
        <w:t>2　达标方案实施前2014</w:t>
      </w:r>
      <w:r>
        <w:rPr>
          <w:rFonts w:hint="eastAsia" w:ascii="黑体" w:hAnsi="黑体" w:eastAsia="黑体" w:cs="Times New Roman"/>
          <w:bCs/>
          <w:sz w:val="32"/>
          <w:szCs w:val="32"/>
        </w:rPr>
        <w:t>—</w:t>
      </w:r>
      <w:r>
        <w:rPr>
          <w:rFonts w:ascii="黑体" w:hAnsi="黑体" w:eastAsia="黑体" w:cs="Times New Roman"/>
          <w:bCs/>
          <w:sz w:val="32"/>
          <w:szCs w:val="32"/>
        </w:rPr>
        <w:t>2015年凤港减河水质监测数据</w:t>
      </w:r>
    </w:p>
    <w:tbl>
      <w:tblPr>
        <w:tblStyle w:val="9"/>
        <w:tblW w:w="8834" w:type="dxa"/>
        <w:tblInd w:w="108"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83"/>
        <w:gridCol w:w="1788"/>
        <w:gridCol w:w="1788"/>
        <w:gridCol w:w="1788"/>
        <w:gridCol w:w="1787"/>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610" w:hRule="atLeast"/>
        </w:trPr>
        <w:tc>
          <w:tcPr>
            <w:tcW w:w="1683"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b/>
                <w:szCs w:val="21"/>
              </w:rPr>
            </w:pPr>
            <w:r>
              <w:rPr>
                <w:rFonts w:eastAsia="仿宋_GB2312" w:cs="Times New Roman"/>
                <w:b/>
                <w:szCs w:val="21"/>
              </w:rPr>
              <w:t>年</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b/>
                <w:szCs w:val="21"/>
              </w:rPr>
            </w:pPr>
            <w:r>
              <w:rPr>
                <w:rFonts w:eastAsia="仿宋_GB2312" w:cs="Times New Roman"/>
                <w:b/>
                <w:szCs w:val="21"/>
              </w:rPr>
              <w:t>月</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b/>
                <w:szCs w:val="21"/>
              </w:rPr>
            </w:pPr>
            <w:r>
              <w:rPr>
                <w:rFonts w:eastAsia="仿宋_GB2312" w:cs="Times New Roman"/>
                <w:b/>
                <w:szCs w:val="21"/>
              </w:rPr>
              <w:t>COD（</w:t>
            </w:r>
            <w:r>
              <w:rPr>
                <w:rFonts w:eastAsia="仿宋_GB2312" w:cs="Times New Roman"/>
                <w:b/>
                <w:bCs/>
                <w:szCs w:val="21"/>
              </w:rPr>
              <w:t>mg/L</w:t>
            </w:r>
            <w:r>
              <w:rPr>
                <w:rFonts w:eastAsia="仿宋_GB2312" w:cs="Times New Roman"/>
                <w:b/>
                <w:szCs w:val="21"/>
              </w:rPr>
              <w:t>）</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b/>
                <w:szCs w:val="21"/>
              </w:rPr>
            </w:pPr>
            <w:r>
              <w:rPr>
                <w:rFonts w:eastAsia="仿宋_GB2312" w:cs="Times New Roman"/>
                <w:b/>
                <w:szCs w:val="21"/>
              </w:rPr>
              <w:t>NH</w:t>
            </w:r>
            <w:r>
              <w:rPr>
                <w:rFonts w:eastAsia="仿宋_GB2312" w:cs="Times New Roman"/>
                <w:b/>
                <w:szCs w:val="21"/>
                <w:vertAlign w:val="subscript"/>
              </w:rPr>
              <w:t>3</w:t>
            </w:r>
            <w:r>
              <w:rPr>
                <w:rFonts w:eastAsia="仿宋_GB2312" w:cs="Times New Roman"/>
                <w:b/>
                <w:szCs w:val="21"/>
              </w:rPr>
              <w:t>-N（</w:t>
            </w:r>
            <w:r>
              <w:rPr>
                <w:rFonts w:eastAsia="仿宋_GB2312" w:cs="Times New Roman"/>
                <w:b/>
                <w:bCs/>
                <w:szCs w:val="21"/>
              </w:rPr>
              <w:t>mg/L</w:t>
            </w:r>
            <w:r>
              <w:rPr>
                <w:rFonts w:eastAsia="仿宋_GB2312" w:cs="Times New Roman"/>
                <w:b/>
                <w:szCs w:val="21"/>
              </w:rPr>
              <w:t>）</w:t>
            </w:r>
          </w:p>
        </w:tc>
        <w:tc>
          <w:tcPr>
            <w:tcW w:w="1787"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b/>
                <w:szCs w:val="21"/>
              </w:rPr>
            </w:pPr>
            <w:r>
              <w:rPr>
                <w:rFonts w:eastAsia="仿宋_GB2312" w:cs="Times New Roman"/>
                <w:b/>
                <w:szCs w:val="21"/>
              </w:rPr>
              <w:t>TP（</w:t>
            </w:r>
            <w:r>
              <w:rPr>
                <w:rFonts w:eastAsia="仿宋_GB2312" w:cs="Times New Roman"/>
                <w:b/>
                <w:bCs/>
                <w:szCs w:val="21"/>
              </w:rPr>
              <w:t>mg/L</w:t>
            </w:r>
            <w:r>
              <w:rPr>
                <w:rFonts w:eastAsia="仿宋_GB2312" w:cs="Times New Roman"/>
                <w:b/>
                <w:szCs w:val="21"/>
              </w:rPr>
              <w:t>）</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08" w:hRule="atLeast"/>
        </w:trPr>
        <w:tc>
          <w:tcPr>
            <w:tcW w:w="1683"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2015</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3</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44</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14.9</w:t>
            </w:r>
          </w:p>
        </w:tc>
        <w:tc>
          <w:tcPr>
            <w:tcW w:w="1787"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0.669</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08" w:hRule="atLeast"/>
        </w:trPr>
        <w:tc>
          <w:tcPr>
            <w:tcW w:w="1683"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2014</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11</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43</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16.18</w:t>
            </w:r>
          </w:p>
        </w:tc>
        <w:tc>
          <w:tcPr>
            <w:tcW w:w="1787"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1.26</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08" w:hRule="atLeast"/>
        </w:trPr>
        <w:tc>
          <w:tcPr>
            <w:tcW w:w="1683"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2014</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10</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＜40</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12.1</w:t>
            </w:r>
          </w:p>
        </w:tc>
        <w:tc>
          <w:tcPr>
            <w:tcW w:w="1787"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1.1</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08" w:hRule="atLeast"/>
        </w:trPr>
        <w:tc>
          <w:tcPr>
            <w:tcW w:w="1683"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2014</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9</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＜40</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7.63</w:t>
            </w:r>
          </w:p>
        </w:tc>
        <w:tc>
          <w:tcPr>
            <w:tcW w:w="1787"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1.21</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08" w:hRule="atLeast"/>
        </w:trPr>
        <w:tc>
          <w:tcPr>
            <w:tcW w:w="1683"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2014</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8</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108</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12.1</w:t>
            </w:r>
          </w:p>
        </w:tc>
        <w:tc>
          <w:tcPr>
            <w:tcW w:w="1787"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2.27</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08" w:hRule="atLeast"/>
        </w:trPr>
        <w:tc>
          <w:tcPr>
            <w:tcW w:w="1683"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2014</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7</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56</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17.5</w:t>
            </w:r>
          </w:p>
        </w:tc>
        <w:tc>
          <w:tcPr>
            <w:tcW w:w="1787"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1.17</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08" w:hRule="atLeast"/>
        </w:trPr>
        <w:tc>
          <w:tcPr>
            <w:tcW w:w="1683"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2014</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6</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＜40</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17.5</w:t>
            </w:r>
          </w:p>
        </w:tc>
        <w:tc>
          <w:tcPr>
            <w:tcW w:w="1787"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1.76</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08" w:hRule="atLeast"/>
        </w:trPr>
        <w:tc>
          <w:tcPr>
            <w:tcW w:w="1683"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2014</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5</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91</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18.2</w:t>
            </w:r>
          </w:p>
        </w:tc>
        <w:tc>
          <w:tcPr>
            <w:tcW w:w="1787"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1.12</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08" w:hRule="atLeast"/>
        </w:trPr>
        <w:tc>
          <w:tcPr>
            <w:tcW w:w="1683"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2014</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4</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82</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6.35</w:t>
            </w:r>
          </w:p>
        </w:tc>
        <w:tc>
          <w:tcPr>
            <w:tcW w:w="1787"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08" w:hRule="atLeast"/>
        </w:trPr>
        <w:tc>
          <w:tcPr>
            <w:tcW w:w="1683"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2014</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3</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139</w:t>
            </w:r>
          </w:p>
        </w:tc>
        <w:tc>
          <w:tcPr>
            <w:tcW w:w="1788"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19.5</w:t>
            </w:r>
          </w:p>
        </w:tc>
        <w:tc>
          <w:tcPr>
            <w:tcW w:w="1787" w:type="dxa"/>
            <w:tcBorders>
              <w:top w:val="single" w:color="auto" w:sz="4" w:space="0"/>
              <w:left w:val="single" w:color="auto" w:sz="4" w:space="0"/>
              <w:bottom w:val="single" w:color="auto" w:sz="4" w:space="0"/>
              <w:right w:val="single" w:color="auto" w:sz="4" w:space="0"/>
            </w:tcBorders>
            <w:vAlign w:val="center"/>
          </w:tcPr>
          <w:p>
            <w:pPr>
              <w:autoSpaceDN w:val="0"/>
              <w:spacing w:line="240" w:lineRule="auto"/>
              <w:ind w:firstLine="0" w:firstLineChars="0"/>
              <w:jc w:val="center"/>
              <w:rPr>
                <w:rFonts w:eastAsia="仿宋_GB2312" w:cs="Times New Roman"/>
                <w:szCs w:val="21"/>
              </w:rPr>
            </w:pPr>
            <w:r>
              <w:rPr>
                <w:rFonts w:eastAsia="仿宋_GB2312" w:cs="Times New Roman"/>
                <w:szCs w:val="21"/>
              </w:rPr>
              <w:t>———</w:t>
            </w:r>
          </w:p>
        </w:tc>
      </w:tr>
    </w:tbl>
    <w:p>
      <w:pPr>
        <w:autoSpaceDN w:val="0"/>
        <w:spacing w:before="120" w:beforeLines="50" w:line="590" w:lineRule="exact"/>
        <w:ind w:firstLine="640"/>
        <w:rPr>
          <w:rFonts w:eastAsia="仿宋_GB2312" w:cs="Times New Roman"/>
          <w:sz w:val="32"/>
          <w:szCs w:val="32"/>
        </w:rPr>
      </w:pPr>
      <w:r>
        <w:rPr>
          <w:rFonts w:eastAsia="仿宋_GB2312" w:cs="Times New Roman"/>
          <w:sz w:val="32"/>
          <w:szCs w:val="32"/>
        </w:rPr>
        <w:t>根据水质监测结果，达标方案实施前，北运河干流COD除局部时间段超标外，基本达到V类水体要求，NH</w:t>
      </w:r>
      <w:r>
        <w:rPr>
          <w:rFonts w:eastAsia="仿宋_GB2312" w:cs="Times New Roman"/>
          <w:sz w:val="32"/>
          <w:szCs w:val="32"/>
          <w:vertAlign w:val="subscript"/>
        </w:rPr>
        <w:t>3</w:t>
      </w:r>
      <w:r>
        <w:rPr>
          <w:rFonts w:hint="eastAsia" w:eastAsia="仿宋_GB2312" w:cs="Times New Roman"/>
          <w:sz w:val="32"/>
          <w:szCs w:val="32"/>
        </w:rPr>
        <w:t>—</w:t>
      </w:r>
      <w:r>
        <w:rPr>
          <w:rFonts w:eastAsia="仿宋_GB2312" w:cs="Times New Roman"/>
          <w:sz w:val="32"/>
          <w:szCs w:val="32"/>
        </w:rPr>
        <w:t>N、TP指标常年劣于V类标准；凤港减河仅COD指标局部时段能达到V类水体要求，NH</w:t>
      </w:r>
      <w:r>
        <w:rPr>
          <w:rFonts w:eastAsia="仿宋_GB2312" w:cs="Times New Roman"/>
          <w:sz w:val="32"/>
          <w:szCs w:val="32"/>
          <w:vertAlign w:val="subscript"/>
        </w:rPr>
        <w:t>3</w:t>
      </w:r>
      <w:r>
        <w:rPr>
          <w:rFonts w:hint="eastAsia" w:eastAsia="仿宋_GB2312" w:cs="Times New Roman"/>
          <w:sz w:val="32"/>
          <w:szCs w:val="32"/>
        </w:rPr>
        <w:t>—</w:t>
      </w:r>
      <w:r>
        <w:rPr>
          <w:rFonts w:eastAsia="仿宋_GB2312" w:cs="Times New Roman"/>
          <w:sz w:val="32"/>
          <w:szCs w:val="32"/>
        </w:rPr>
        <w:t>N和TP指标全年劣于V类标准。</w:t>
      </w:r>
    </w:p>
    <w:p>
      <w:pPr>
        <w:pStyle w:val="3"/>
        <w:autoSpaceDN w:val="0"/>
        <w:snapToGrid w:val="0"/>
        <w:spacing w:line="590" w:lineRule="exact"/>
        <w:ind w:firstLine="643"/>
        <w:rPr>
          <w:rFonts w:eastAsia="楷体_GB2312"/>
          <w:bCs w:val="0"/>
        </w:rPr>
      </w:pPr>
      <w:bookmarkStart w:id="397" w:name="_Toc21720679"/>
      <w:r>
        <w:rPr>
          <w:rFonts w:eastAsia="楷体_GB2312"/>
          <w:bCs w:val="0"/>
        </w:rPr>
        <w:t>3.3方案实施后水质状况</w:t>
      </w:r>
      <w:bookmarkEnd w:id="397"/>
    </w:p>
    <w:p>
      <w:pPr>
        <w:pStyle w:val="4"/>
        <w:autoSpaceDN w:val="0"/>
        <w:snapToGrid w:val="0"/>
        <w:spacing w:line="590" w:lineRule="exact"/>
        <w:ind w:firstLine="643"/>
      </w:pPr>
      <w:bookmarkStart w:id="398" w:name="_Toc21720680"/>
      <w:r>
        <w:t>3.3.1水环境质量监测评价</w:t>
      </w:r>
      <w:bookmarkEnd w:id="398"/>
    </w:p>
    <w:p>
      <w:pPr>
        <w:snapToGrid w:val="0"/>
        <w:spacing w:line="590" w:lineRule="exact"/>
        <w:ind w:firstLine="640"/>
        <w:rPr>
          <w:rFonts w:eastAsia="仿宋_GB2312" w:cs="Times New Roman"/>
          <w:sz w:val="32"/>
          <w:szCs w:val="32"/>
        </w:rPr>
      </w:pPr>
      <w:r>
        <w:rPr>
          <w:rFonts w:eastAsia="仿宋_GB2312" w:cs="Times New Roman"/>
          <w:sz w:val="32"/>
          <w:szCs w:val="32"/>
        </w:rPr>
        <w:t>根据北运河干流土门楼断面、北运河支流小友垡排干渠入北运河口断面水质监测数据，采用单因子标准指数法进行评价。评价指标与方法参考《地表水环境质量评价办法》（环办〔2011〕22号）、《地表水环境质量标准》（GB3838</w:t>
      </w:r>
      <w:r>
        <w:rPr>
          <w:rFonts w:hint="eastAsia" w:eastAsia="仿宋_GB2312" w:cs="Times New Roman"/>
          <w:sz w:val="32"/>
          <w:szCs w:val="32"/>
        </w:rPr>
        <w:t>—</w:t>
      </w:r>
      <w:r>
        <w:rPr>
          <w:rFonts w:eastAsia="仿宋_GB2312" w:cs="Times New Roman"/>
          <w:sz w:val="32"/>
          <w:szCs w:val="32"/>
        </w:rPr>
        <w:t>2002）和《环境影响评价技术导则地面水环境》（HJ/T2.3）的有关内容。</w:t>
      </w:r>
    </w:p>
    <w:p>
      <w:pPr>
        <w:snapToGrid w:val="0"/>
        <w:spacing w:line="590" w:lineRule="exact"/>
        <w:ind w:firstLine="643"/>
        <w:rPr>
          <w:rFonts w:eastAsia="仿宋_GB2312" w:cs="Times New Roman"/>
          <w:b/>
          <w:sz w:val="32"/>
          <w:szCs w:val="32"/>
        </w:rPr>
      </w:pPr>
      <w:r>
        <w:rPr>
          <w:rFonts w:eastAsia="仿宋_GB2312" w:cs="Times New Roman"/>
          <w:b/>
          <w:sz w:val="32"/>
          <w:szCs w:val="32"/>
        </w:rPr>
        <w:t>（1）土门楼断面</w:t>
      </w:r>
    </w:p>
    <w:p>
      <w:pPr>
        <w:snapToGrid w:val="0"/>
        <w:spacing w:line="590" w:lineRule="exact"/>
        <w:ind w:firstLine="640"/>
        <w:rPr>
          <w:rFonts w:eastAsia="仿宋_GB2312" w:cs="Times New Roman"/>
          <w:sz w:val="32"/>
          <w:szCs w:val="32"/>
        </w:rPr>
      </w:pPr>
      <w:r>
        <w:rPr>
          <w:rFonts w:eastAsia="仿宋_GB2312" w:cs="Times New Roman"/>
          <w:sz w:val="32"/>
          <w:szCs w:val="32"/>
        </w:rPr>
        <w:t>以2016</w:t>
      </w:r>
      <w:r>
        <w:rPr>
          <w:rFonts w:hint="eastAsia" w:eastAsia="仿宋_GB2312" w:cs="Times New Roman"/>
          <w:sz w:val="32"/>
          <w:szCs w:val="32"/>
        </w:rPr>
        <w:t>—</w:t>
      </w:r>
      <w:r>
        <w:rPr>
          <w:rFonts w:eastAsia="仿宋_GB2312" w:cs="Times New Roman"/>
          <w:sz w:val="32"/>
          <w:szCs w:val="32"/>
        </w:rPr>
        <w:t>2019年8月土门楼断面44个月的水质监测数据为依据进行分析，水质评价结果详见表3</w:t>
      </w:r>
      <w:r>
        <w:rPr>
          <w:rFonts w:hint="eastAsia" w:eastAsia="仿宋_GB2312"/>
          <w:sz w:val="32"/>
          <w:szCs w:val="32"/>
        </w:rPr>
        <w:t>-</w:t>
      </w:r>
      <w:r>
        <w:rPr>
          <w:rFonts w:eastAsia="仿宋_GB2312" w:cs="Times New Roman"/>
          <w:sz w:val="32"/>
          <w:szCs w:val="32"/>
        </w:rPr>
        <w:t>3。</w:t>
      </w:r>
    </w:p>
    <w:p>
      <w:pPr>
        <w:autoSpaceDN w:val="0"/>
        <w:spacing w:before="240" w:beforeLines="100" w:after="120" w:afterLines="50" w:line="240" w:lineRule="auto"/>
        <w:ind w:firstLine="640"/>
        <w:jc w:val="center"/>
        <w:rPr>
          <w:rFonts w:ascii="黑体" w:hAnsi="黑体" w:eastAsia="黑体" w:cs="Times New Roman"/>
          <w:bCs/>
          <w:sz w:val="32"/>
          <w:szCs w:val="32"/>
        </w:rPr>
      </w:pPr>
      <w:r>
        <w:rPr>
          <w:rFonts w:ascii="黑体" w:hAnsi="黑体" w:eastAsia="黑体" w:cs="Times New Roman"/>
          <w:bCs/>
          <w:sz w:val="32"/>
          <w:szCs w:val="32"/>
        </w:rPr>
        <w:t>表3</w:t>
      </w:r>
      <w:r>
        <w:rPr>
          <w:rFonts w:hint="eastAsia" w:eastAsia="仿宋_GB2312"/>
          <w:sz w:val="32"/>
          <w:szCs w:val="32"/>
        </w:rPr>
        <w:t>-</w:t>
      </w:r>
      <w:r>
        <w:rPr>
          <w:rFonts w:ascii="黑体" w:hAnsi="黑体" w:eastAsia="黑体" w:cs="Times New Roman"/>
          <w:bCs/>
          <w:sz w:val="32"/>
          <w:szCs w:val="32"/>
        </w:rPr>
        <w:t>3 2016</w:t>
      </w:r>
      <w:r>
        <w:rPr>
          <w:rFonts w:hint="eastAsia" w:ascii="黑体" w:hAnsi="黑体" w:eastAsia="黑体" w:cs="Times New Roman"/>
          <w:bCs/>
          <w:sz w:val="32"/>
          <w:szCs w:val="32"/>
        </w:rPr>
        <w:t>—</w:t>
      </w:r>
      <w:r>
        <w:rPr>
          <w:rFonts w:ascii="黑体" w:hAnsi="黑体" w:eastAsia="黑体" w:cs="Times New Roman"/>
          <w:bCs/>
          <w:sz w:val="32"/>
          <w:szCs w:val="32"/>
        </w:rPr>
        <w:t>2019年土门楼断面水质监测结果表</w:t>
      </w:r>
    </w:p>
    <w:tbl>
      <w:tblPr>
        <w:tblStyle w:val="9"/>
        <w:tblW w:w="8762" w:type="dxa"/>
        <w:jc w:val="center"/>
        <w:tblInd w:w="133" w:type="dxa"/>
        <w:tblLayout w:type="fixed"/>
        <w:tblCellMar>
          <w:top w:w="0" w:type="dxa"/>
          <w:left w:w="0" w:type="dxa"/>
          <w:bottom w:w="0" w:type="dxa"/>
          <w:right w:w="0" w:type="dxa"/>
        </w:tblCellMar>
      </w:tblPr>
      <w:tblGrid>
        <w:gridCol w:w="631"/>
        <w:gridCol w:w="658"/>
        <w:gridCol w:w="490"/>
        <w:gridCol w:w="418"/>
        <w:gridCol w:w="700"/>
        <w:gridCol w:w="1008"/>
        <w:gridCol w:w="745"/>
        <w:gridCol w:w="711"/>
        <w:gridCol w:w="617"/>
        <w:gridCol w:w="2784"/>
      </w:tblGrid>
      <w:tr>
        <w:tblPrEx>
          <w:tblLayout w:type="fixed"/>
          <w:tblCellMar>
            <w:top w:w="0" w:type="dxa"/>
            <w:left w:w="0" w:type="dxa"/>
            <w:bottom w:w="0" w:type="dxa"/>
            <w:right w:w="0" w:type="dxa"/>
          </w:tblCellMar>
        </w:tblPrEx>
        <w:trPr>
          <w:trHeight w:val="528" w:hRule="atLeast"/>
          <w:tblHeader/>
          <w:jc w:val="center"/>
        </w:trPr>
        <w:tc>
          <w:tcPr>
            <w:tcW w:w="6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断面</w:t>
            </w:r>
          </w:p>
        </w:tc>
        <w:tc>
          <w:tcPr>
            <w:tcW w:w="658"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所在</w:t>
            </w:r>
          </w:p>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河流</w:t>
            </w:r>
          </w:p>
        </w:tc>
        <w:tc>
          <w:tcPr>
            <w:tcW w:w="490"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年</w:t>
            </w:r>
          </w:p>
        </w:tc>
        <w:tc>
          <w:tcPr>
            <w:tcW w:w="418"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月</w:t>
            </w:r>
          </w:p>
        </w:tc>
        <w:tc>
          <w:tcPr>
            <w:tcW w:w="700"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CODmn</w:t>
            </w:r>
          </w:p>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（mg/L）</w:t>
            </w:r>
          </w:p>
        </w:tc>
        <w:tc>
          <w:tcPr>
            <w:tcW w:w="1008"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氨氮（mg/L）</w:t>
            </w:r>
          </w:p>
        </w:tc>
        <w:tc>
          <w:tcPr>
            <w:tcW w:w="745"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CODcr</w:t>
            </w:r>
          </w:p>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（mg/L）</w:t>
            </w:r>
          </w:p>
        </w:tc>
        <w:tc>
          <w:tcPr>
            <w:tcW w:w="711"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总磷（mg/L）</w:t>
            </w:r>
          </w:p>
        </w:tc>
        <w:tc>
          <w:tcPr>
            <w:tcW w:w="617"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水质</w:t>
            </w:r>
          </w:p>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类别</w:t>
            </w:r>
          </w:p>
        </w:tc>
        <w:tc>
          <w:tcPr>
            <w:tcW w:w="2784"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b/>
                <w:sz w:val="18"/>
                <w:szCs w:val="18"/>
              </w:rPr>
            </w:pPr>
            <w:r>
              <w:rPr>
                <w:rFonts w:eastAsia="仿宋_GB2312" w:cs="Times New Roman"/>
                <w:b/>
                <w:sz w:val="18"/>
                <w:szCs w:val="18"/>
              </w:rPr>
              <w:t>超标因子和倍数</w:t>
            </w:r>
          </w:p>
        </w:tc>
      </w:tr>
      <w:tr>
        <w:tblPrEx>
          <w:tblLayout w:type="fixed"/>
          <w:tblCellMar>
            <w:top w:w="0" w:type="dxa"/>
            <w:left w:w="0" w:type="dxa"/>
            <w:bottom w:w="0" w:type="dxa"/>
            <w:right w:w="0" w:type="dxa"/>
          </w:tblCellMar>
        </w:tblPrEx>
        <w:trPr>
          <w:trHeight w:val="716"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9.7</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13.6</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34.2</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1.02</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氨氮（5.8）、总磷（1.6）、阴离子表面活性剂（0.4）</w:t>
            </w:r>
          </w:p>
        </w:tc>
      </w:tr>
      <w:tr>
        <w:tblPrEx>
          <w:tblLayout w:type="fixed"/>
          <w:tblCellMar>
            <w:top w:w="0" w:type="dxa"/>
            <w:left w:w="0" w:type="dxa"/>
            <w:bottom w:w="0" w:type="dxa"/>
            <w:right w:w="0" w:type="dxa"/>
          </w:tblCellMar>
        </w:tblPrEx>
        <w:trPr>
          <w:trHeight w:val="380"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10.2</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14.6</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35.1</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1.18</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氨氮（6.3）、总磷（2）</w:t>
            </w:r>
          </w:p>
        </w:tc>
      </w:tr>
      <w:tr>
        <w:tblPrEx>
          <w:tblLayout w:type="fixed"/>
          <w:tblCellMar>
            <w:top w:w="0" w:type="dxa"/>
            <w:left w:w="0" w:type="dxa"/>
            <w:bottom w:w="0" w:type="dxa"/>
            <w:right w:w="0" w:type="dxa"/>
          </w:tblCellMar>
        </w:tblPrEx>
        <w:trPr>
          <w:trHeight w:val="408"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9.9</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14.5</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39.9</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1.39</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氨氮（6.3）、总磷（2.5）</w:t>
            </w:r>
          </w:p>
        </w:tc>
      </w:tr>
      <w:tr>
        <w:tblPrEx>
          <w:tblLayout w:type="fixed"/>
          <w:tblCellMar>
            <w:top w:w="0" w:type="dxa"/>
            <w:left w:w="0" w:type="dxa"/>
            <w:bottom w:w="0" w:type="dxa"/>
            <w:right w:w="0" w:type="dxa"/>
          </w:tblCellMar>
        </w:tblPrEx>
        <w:trPr>
          <w:trHeight w:val="422"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4</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9.6</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8.58</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34.4</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1.38</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氨氮（3.3）、总磷（2.5）</w:t>
            </w:r>
          </w:p>
        </w:tc>
      </w:tr>
      <w:tr>
        <w:tblPrEx>
          <w:tblLayout w:type="fixed"/>
          <w:tblCellMar>
            <w:top w:w="0" w:type="dxa"/>
            <w:left w:w="0" w:type="dxa"/>
            <w:bottom w:w="0" w:type="dxa"/>
            <w:right w:w="0" w:type="dxa"/>
          </w:tblCellMar>
        </w:tblPrEx>
        <w:trPr>
          <w:trHeight w:val="1260"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5</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18.4</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34.3</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126</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5.3</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高锰酸盐指数（0.2）、生化需氧量（1.3）、氨氮（16.2）、化学需氧量（2.2）、总磷（12.3）、氟化物（0.7）、阴离子表面活性剂（0.4）</w:t>
            </w:r>
          </w:p>
        </w:tc>
      </w:tr>
      <w:tr>
        <w:tblPrEx>
          <w:tblLayout w:type="fixed"/>
          <w:tblCellMar>
            <w:top w:w="0" w:type="dxa"/>
            <w:left w:w="0" w:type="dxa"/>
            <w:bottom w:w="0" w:type="dxa"/>
            <w:right w:w="0" w:type="dxa"/>
          </w:tblCellMar>
        </w:tblPrEx>
        <w:trPr>
          <w:trHeight w:val="463"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6</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10.5</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15.2</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30.9</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1.19</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氨氮（6.6）、总磷（2）</w:t>
            </w:r>
          </w:p>
        </w:tc>
      </w:tr>
      <w:tr>
        <w:tblPrEx>
          <w:tblLayout w:type="fixed"/>
          <w:tblCellMar>
            <w:top w:w="0" w:type="dxa"/>
            <w:left w:w="0" w:type="dxa"/>
            <w:bottom w:w="0" w:type="dxa"/>
            <w:right w:w="0" w:type="dxa"/>
          </w:tblCellMar>
        </w:tblPrEx>
        <w:trPr>
          <w:trHeight w:val="771"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10.5</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11.2</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49.4</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1.23</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生化需氧量（0.7）、氨氮（4.6）、化学需氧量（0.2）、总磷（2.1）</w:t>
            </w:r>
          </w:p>
        </w:tc>
      </w:tr>
      <w:tr>
        <w:tblPrEx>
          <w:tblLayout w:type="fixed"/>
          <w:tblCellMar>
            <w:top w:w="0" w:type="dxa"/>
            <w:left w:w="0" w:type="dxa"/>
            <w:bottom w:w="0" w:type="dxa"/>
            <w:right w:w="0" w:type="dxa"/>
          </w:tblCellMar>
        </w:tblPrEx>
        <w:trPr>
          <w:trHeight w:val="449"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8</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9.8</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14</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1.12</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氨氮（6）、总磷（1.8）</w:t>
            </w:r>
          </w:p>
        </w:tc>
      </w:tr>
      <w:tr>
        <w:tblPrEx>
          <w:tblLayout w:type="fixed"/>
          <w:tblCellMar>
            <w:top w:w="0" w:type="dxa"/>
            <w:left w:w="0" w:type="dxa"/>
            <w:bottom w:w="0" w:type="dxa"/>
            <w:right w:w="0" w:type="dxa"/>
          </w:tblCellMar>
        </w:tblPrEx>
        <w:trPr>
          <w:trHeight w:val="435"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9</w:t>
            </w:r>
          </w:p>
        </w:tc>
        <w:tc>
          <w:tcPr>
            <w:tcW w:w="6565" w:type="dxa"/>
            <w:gridSpan w:val="6"/>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r>
              <w:rPr>
                <w:rFonts w:eastAsia="仿宋_GB2312" w:cs="Times New Roman"/>
                <w:sz w:val="18"/>
                <w:szCs w:val="18"/>
              </w:rPr>
              <w:t>-</w:t>
            </w:r>
          </w:p>
        </w:tc>
      </w:tr>
      <w:tr>
        <w:tblPrEx>
          <w:tblLayout w:type="fixed"/>
          <w:tblCellMar>
            <w:top w:w="0" w:type="dxa"/>
            <w:left w:w="0" w:type="dxa"/>
            <w:bottom w:w="0" w:type="dxa"/>
            <w:right w:w="0" w:type="dxa"/>
          </w:tblCellMar>
        </w:tblPrEx>
        <w:trPr>
          <w:trHeight w:val="603"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10.6</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10.3</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38</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0.51</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生化需氧量（0.1）、氨氮（4.2）、总磷（0.3）</w:t>
            </w:r>
          </w:p>
        </w:tc>
      </w:tr>
      <w:tr>
        <w:tblPrEx>
          <w:tblLayout w:type="fixed"/>
          <w:tblCellMar>
            <w:top w:w="0" w:type="dxa"/>
            <w:left w:w="0" w:type="dxa"/>
            <w:bottom w:w="0" w:type="dxa"/>
            <w:right w:w="0" w:type="dxa"/>
          </w:tblCellMar>
        </w:tblPrEx>
        <w:trPr>
          <w:trHeight w:val="407"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11</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9.7</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7.23</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0.42</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氨氮（2.6）、总磷（0.05）</w:t>
            </w:r>
          </w:p>
        </w:tc>
      </w:tr>
      <w:tr>
        <w:tblPrEx>
          <w:tblLayout w:type="fixed"/>
          <w:tblCellMar>
            <w:top w:w="0" w:type="dxa"/>
            <w:left w:w="0" w:type="dxa"/>
            <w:bottom w:w="0" w:type="dxa"/>
            <w:right w:w="0" w:type="dxa"/>
          </w:tblCellMar>
        </w:tblPrEx>
        <w:trPr>
          <w:trHeight w:val="422"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12</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r>
              <w:rPr>
                <w:rFonts w:eastAsia="仿宋_GB2312" w:cs="Times New Roman"/>
                <w:sz w:val="18"/>
                <w:szCs w:val="18"/>
              </w:rPr>
              <w:t>-</w:t>
            </w:r>
          </w:p>
        </w:tc>
        <w:tc>
          <w:tcPr>
            <w:tcW w:w="1008" w:type="dxa"/>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r>
              <w:rPr>
                <w:rFonts w:eastAsia="仿宋_GB2312" w:cs="Times New Roman"/>
                <w:sz w:val="18"/>
                <w:szCs w:val="18"/>
              </w:rPr>
              <w:t>-</w:t>
            </w:r>
          </w:p>
        </w:tc>
        <w:tc>
          <w:tcPr>
            <w:tcW w:w="745" w:type="dxa"/>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r>
              <w:rPr>
                <w:rFonts w:eastAsia="仿宋_GB2312" w:cs="Times New Roman"/>
                <w:sz w:val="18"/>
                <w:szCs w:val="18"/>
              </w:rPr>
              <w:t>-</w:t>
            </w:r>
          </w:p>
        </w:tc>
        <w:tc>
          <w:tcPr>
            <w:tcW w:w="711" w:type="dxa"/>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r>
              <w:rPr>
                <w:rFonts w:eastAsia="仿宋_GB2312" w:cs="Times New Roman"/>
                <w:sz w:val="18"/>
                <w:szCs w:val="18"/>
              </w:rPr>
              <w:t>-</w:t>
            </w:r>
          </w:p>
        </w:tc>
        <w:tc>
          <w:tcPr>
            <w:tcW w:w="617"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18"/>
                <w:szCs w:val="18"/>
              </w:rPr>
            </w:pPr>
            <w:r>
              <w:rPr>
                <w:rFonts w:eastAsia="仿宋_GB2312" w:cs="Times New Roman"/>
                <w:sz w:val="18"/>
                <w:szCs w:val="18"/>
              </w:rPr>
              <w:t>-</w:t>
            </w:r>
          </w:p>
        </w:tc>
        <w:tc>
          <w:tcPr>
            <w:tcW w:w="2784" w:type="dxa"/>
            <w:tcBorders>
              <w:top w:val="nil"/>
              <w:left w:val="nil"/>
              <w:bottom w:val="single" w:color="auto" w:sz="4" w:space="0"/>
              <w:right w:val="single" w:color="auto" w:sz="4" w:space="0"/>
            </w:tcBorders>
            <w:vAlign w:val="center"/>
          </w:tcPr>
          <w:p>
            <w:pPr>
              <w:snapToGrid w:val="0"/>
              <w:spacing w:line="240" w:lineRule="auto"/>
              <w:ind w:firstLineChars="111"/>
              <w:jc w:val="center"/>
              <w:rPr>
                <w:rFonts w:eastAsia="仿宋_GB2312" w:cs="Times New Roman"/>
                <w:sz w:val="18"/>
                <w:szCs w:val="18"/>
              </w:rPr>
            </w:pPr>
            <w:r>
              <w:rPr>
                <w:rFonts w:eastAsia="仿宋_GB2312" w:cs="Times New Roman"/>
                <w:sz w:val="18"/>
                <w:szCs w:val="18"/>
              </w:rPr>
              <w:t>-</w:t>
            </w:r>
          </w:p>
        </w:tc>
      </w:tr>
      <w:tr>
        <w:tblPrEx>
          <w:tblLayout w:type="fixed"/>
          <w:tblCellMar>
            <w:top w:w="0" w:type="dxa"/>
            <w:left w:w="0" w:type="dxa"/>
            <w:bottom w:w="0" w:type="dxa"/>
            <w:right w:w="0" w:type="dxa"/>
          </w:tblCellMar>
        </w:tblPrEx>
        <w:trPr>
          <w:trHeight w:val="617"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2016</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年均</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10.9</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14.35</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42.8</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1.474</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氨氮（6.2）、化学需氧量（0.1）、总磷（2.7）</w:t>
            </w:r>
          </w:p>
        </w:tc>
      </w:tr>
      <w:tr>
        <w:tblPrEx>
          <w:tblLayout w:type="fixed"/>
          <w:tblCellMar>
            <w:top w:w="0" w:type="dxa"/>
            <w:left w:w="0" w:type="dxa"/>
            <w:bottom w:w="0" w:type="dxa"/>
            <w:right w:w="0" w:type="dxa"/>
          </w:tblCellMar>
        </w:tblPrEx>
        <w:trPr>
          <w:trHeight w:val="436"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2017</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1-2</w:t>
            </w:r>
          </w:p>
        </w:tc>
        <w:tc>
          <w:tcPr>
            <w:tcW w:w="6565" w:type="dxa"/>
            <w:gridSpan w:val="6"/>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r>
              <w:rPr>
                <w:rFonts w:eastAsia="仿宋_GB2312" w:cs="Times New Roman"/>
                <w:sz w:val="18"/>
                <w:szCs w:val="18"/>
              </w:rPr>
              <w:t>冰封未测</w:t>
            </w:r>
          </w:p>
        </w:tc>
      </w:tr>
      <w:tr>
        <w:tblPrEx>
          <w:tblLayout w:type="fixed"/>
          <w:tblCellMar>
            <w:top w:w="0" w:type="dxa"/>
            <w:left w:w="0" w:type="dxa"/>
            <w:bottom w:w="0" w:type="dxa"/>
            <w:right w:w="0" w:type="dxa"/>
          </w:tblCellMar>
        </w:tblPrEx>
        <w:trPr>
          <w:trHeight w:val="591"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2017</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12.7</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15.3</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53</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0.39</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生化需氧量（0.4）、氨氮（6.7）、化学需氧量（0.3）</w:t>
            </w:r>
          </w:p>
        </w:tc>
      </w:tr>
      <w:tr>
        <w:tblPrEx>
          <w:tblLayout w:type="fixed"/>
          <w:tblCellMar>
            <w:top w:w="0" w:type="dxa"/>
            <w:left w:w="0" w:type="dxa"/>
            <w:bottom w:w="0" w:type="dxa"/>
            <w:right w:w="0" w:type="dxa"/>
          </w:tblCellMar>
        </w:tblPrEx>
        <w:trPr>
          <w:trHeight w:val="422"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2017</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4-7</w:t>
            </w:r>
          </w:p>
        </w:tc>
        <w:tc>
          <w:tcPr>
            <w:tcW w:w="6565" w:type="dxa"/>
            <w:gridSpan w:val="6"/>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r>
              <w:rPr>
                <w:rFonts w:eastAsia="仿宋_GB2312" w:cs="Times New Roman"/>
                <w:sz w:val="18"/>
                <w:szCs w:val="18"/>
              </w:rPr>
              <w:t>施工断流未测</w:t>
            </w:r>
          </w:p>
        </w:tc>
      </w:tr>
      <w:tr>
        <w:tblPrEx>
          <w:tblLayout w:type="fixed"/>
          <w:tblCellMar>
            <w:top w:w="0" w:type="dxa"/>
            <w:left w:w="0" w:type="dxa"/>
            <w:bottom w:w="0" w:type="dxa"/>
            <w:right w:w="0" w:type="dxa"/>
          </w:tblCellMar>
        </w:tblPrEx>
        <w:trPr>
          <w:trHeight w:val="520"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2017</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8</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7.8</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1.42</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103</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0.37</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生化需氧量（2.1）、化学需氧量（1.6）</w:t>
            </w:r>
          </w:p>
        </w:tc>
      </w:tr>
      <w:tr>
        <w:tblPrEx>
          <w:tblLayout w:type="fixed"/>
          <w:tblCellMar>
            <w:top w:w="0" w:type="dxa"/>
            <w:left w:w="0" w:type="dxa"/>
            <w:bottom w:w="0" w:type="dxa"/>
            <w:right w:w="0" w:type="dxa"/>
          </w:tblCellMar>
        </w:tblPrEx>
        <w:trPr>
          <w:trHeight w:val="757"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2017</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9</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17.7</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1.16</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84</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0.27</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高锰酸盐指数（0.2）、生化需氧量（0.6）、化学需氧量（1.1）</w:t>
            </w:r>
          </w:p>
        </w:tc>
      </w:tr>
      <w:tr>
        <w:tblPrEx>
          <w:tblLayout w:type="fixed"/>
          <w:tblCellMar>
            <w:top w:w="0" w:type="dxa"/>
            <w:left w:w="0" w:type="dxa"/>
            <w:bottom w:w="0" w:type="dxa"/>
            <w:right w:w="0" w:type="dxa"/>
          </w:tblCellMar>
        </w:tblPrEx>
        <w:trPr>
          <w:trHeight w:val="491"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2017</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5</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3.88</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29</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0.25</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91"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2017</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11</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5.7</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2.08</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35</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0.11</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505"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2017</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12</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7.5</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0.39</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40</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0.13</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673"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2017</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年均</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9.4</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4.04</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57.3</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0.253</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r>
              <w:rPr>
                <w:rFonts w:eastAsia="仿宋_GB2312" w:cs="Times New Roman"/>
                <w:sz w:val="18"/>
                <w:szCs w:val="18"/>
              </w:rPr>
              <w:t>生化需氧量（0.2）、氨氮（1）、化学需氧量（0.4）</w:t>
            </w:r>
          </w:p>
        </w:tc>
      </w:tr>
      <w:tr>
        <w:tblPrEx>
          <w:tblLayout w:type="fixed"/>
          <w:tblCellMar>
            <w:top w:w="0" w:type="dxa"/>
            <w:left w:w="0" w:type="dxa"/>
            <w:bottom w:w="0" w:type="dxa"/>
            <w:right w:w="0" w:type="dxa"/>
          </w:tblCellMar>
        </w:tblPrEx>
        <w:trPr>
          <w:trHeight w:val="478"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6.9</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0.2</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31</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0.11</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37"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w:t>
            </w:r>
          </w:p>
        </w:tc>
        <w:tc>
          <w:tcPr>
            <w:tcW w:w="6565" w:type="dxa"/>
            <w:gridSpan w:val="6"/>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r>
              <w:rPr>
                <w:rFonts w:eastAsia="仿宋_GB2312" w:cs="Times New Roman"/>
                <w:sz w:val="18"/>
                <w:szCs w:val="18"/>
              </w:rPr>
              <w:t>冰封未测</w:t>
            </w:r>
          </w:p>
        </w:tc>
      </w:tr>
      <w:tr>
        <w:tblPrEx>
          <w:tblLayout w:type="fixed"/>
          <w:tblCellMar>
            <w:top w:w="0" w:type="dxa"/>
            <w:left w:w="0" w:type="dxa"/>
            <w:bottom w:w="0" w:type="dxa"/>
            <w:right w:w="0" w:type="dxa"/>
          </w:tblCellMar>
        </w:tblPrEx>
        <w:trPr>
          <w:trHeight w:val="520"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7.4</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1.77</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24</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0.18</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64"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4</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2.58</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30</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0.26</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劣</w:t>
            </w: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21"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5</w:t>
            </w:r>
          </w:p>
        </w:tc>
        <w:tc>
          <w:tcPr>
            <w:tcW w:w="700" w:type="dxa"/>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p>
        </w:tc>
        <w:tc>
          <w:tcPr>
            <w:tcW w:w="1008" w:type="dxa"/>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p>
        </w:tc>
        <w:tc>
          <w:tcPr>
            <w:tcW w:w="745" w:type="dxa"/>
            <w:tcBorders>
              <w:top w:val="nil"/>
              <w:left w:val="nil"/>
              <w:bottom w:val="single" w:color="auto" w:sz="4" w:space="0"/>
              <w:right w:val="single" w:color="auto" w:sz="4" w:space="0"/>
            </w:tcBorders>
            <w:vAlign w:val="center"/>
          </w:tcPr>
          <w:p>
            <w:pPr>
              <w:snapToGrid w:val="0"/>
              <w:spacing w:line="240" w:lineRule="auto"/>
              <w:ind w:firstLine="360"/>
              <w:jc w:val="center"/>
              <w:rPr>
                <w:rFonts w:hint="eastAsia" w:eastAsia="仿宋_GB2312" w:cs="Times New Roman"/>
                <w:sz w:val="18"/>
                <w:szCs w:val="18"/>
              </w:rPr>
            </w:pPr>
          </w:p>
        </w:tc>
        <w:tc>
          <w:tcPr>
            <w:tcW w:w="711" w:type="dxa"/>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p>
        </w:tc>
        <w:tc>
          <w:tcPr>
            <w:tcW w:w="617" w:type="dxa"/>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p>
        </w:tc>
        <w:tc>
          <w:tcPr>
            <w:tcW w:w="2784" w:type="dxa"/>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21"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6</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10.2</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0.29</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39</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0.18</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324"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w:t>
            </w:r>
          </w:p>
        </w:tc>
        <w:tc>
          <w:tcPr>
            <w:tcW w:w="6565" w:type="dxa"/>
            <w:gridSpan w:val="6"/>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r>
              <w:rPr>
                <w:rFonts w:eastAsia="仿宋_GB2312" w:cs="Times New Roman"/>
                <w:sz w:val="18"/>
                <w:szCs w:val="18"/>
              </w:rPr>
              <w:t>-</w:t>
            </w:r>
          </w:p>
        </w:tc>
      </w:tr>
      <w:tr>
        <w:tblPrEx>
          <w:tblLayout w:type="fixed"/>
          <w:tblCellMar>
            <w:top w:w="0" w:type="dxa"/>
            <w:left w:w="0" w:type="dxa"/>
            <w:bottom w:w="0" w:type="dxa"/>
            <w:right w:w="0" w:type="dxa"/>
          </w:tblCellMar>
        </w:tblPrEx>
        <w:trPr>
          <w:trHeight w:val="366"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8</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6.7</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0.77</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27</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0.19</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393"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9</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9.1</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0.4</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32</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0.22</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Ⅴ</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08"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5.7</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0.31</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26</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0.14</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Ⅳ</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394"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11</w:t>
            </w:r>
          </w:p>
        </w:tc>
        <w:tc>
          <w:tcPr>
            <w:tcW w:w="6565" w:type="dxa"/>
            <w:gridSpan w:val="6"/>
            <w:tcBorders>
              <w:top w:val="nil"/>
              <w:left w:val="nil"/>
              <w:bottom w:val="single" w:color="auto" w:sz="4" w:space="0"/>
              <w:right w:val="single" w:color="auto" w:sz="4" w:space="0"/>
            </w:tcBorders>
            <w:vAlign w:val="center"/>
          </w:tcPr>
          <w:p>
            <w:pPr>
              <w:snapToGrid w:val="0"/>
              <w:spacing w:line="240" w:lineRule="auto"/>
              <w:ind w:firstLine="360"/>
              <w:jc w:val="center"/>
              <w:rPr>
                <w:rFonts w:eastAsia="仿宋_GB2312" w:cs="Times New Roman"/>
                <w:sz w:val="18"/>
                <w:szCs w:val="18"/>
              </w:rPr>
            </w:pPr>
            <w:r>
              <w:rPr>
                <w:rFonts w:eastAsia="仿宋_GB2312" w:cs="Times New Roman"/>
                <w:sz w:val="18"/>
                <w:szCs w:val="18"/>
              </w:rPr>
              <w:t>-</w:t>
            </w:r>
          </w:p>
        </w:tc>
      </w:tr>
      <w:tr>
        <w:tblPrEx>
          <w:tblLayout w:type="fixed"/>
          <w:tblCellMar>
            <w:top w:w="0" w:type="dxa"/>
            <w:left w:w="0" w:type="dxa"/>
            <w:bottom w:w="0" w:type="dxa"/>
            <w:right w:w="0" w:type="dxa"/>
          </w:tblCellMar>
        </w:tblPrEx>
        <w:trPr>
          <w:trHeight w:val="407"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12</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4.5</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1.35</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17</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0.13</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Ⅳ</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35" w:hRule="atLeast"/>
          <w:jc w:val="center"/>
        </w:trPr>
        <w:tc>
          <w:tcPr>
            <w:tcW w:w="631"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2018</w:t>
            </w:r>
          </w:p>
        </w:tc>
        <w:tc>
          <w:tcPr>
            <w:tcW w:w="41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年均</w:t>
            </w:r>
          </w:p>
        </w:tc>
        <w:tc>
          <w:tcPr>
            <w:tcW w:w="700"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7.2</w:t>
            </w:r>
          </w:p>
        </w:tc>
        <w:tc>
          <w:tcPr>
            <w:tcW w:w="1008"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0.96</w:t>
            </w:r>
          </w:p>
        </w:tc>
        <w:tc>
          <w:tcPr>
            <w:tcW w:w="745"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28.2</w:t>
            </w:r>
          </w:p>
        </w:tc>
        <w:tc>
          <w:tcPr>
            <w:tcW w:w="711"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0.176</w:t>
            </w:r>
          </w:p>
        </w:tc>
        <w:tc>
          <w:tcPr>
            <w:tcW w:w="617" w:type="dxa"/>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Ⅳ</w:t>
            </w:r>
          </w:p>
        </w:tc>
        <w:tc>
          <w:tcPr>
            <w:tcW w:w="2784" w:type="dxa"/>
            <w:tcBorders>
              <w:top w:val="nil"/>
              <w:left w:val="nil"/>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08" w:hRule="atLeast"/>
          <w:jc w:val="center"/>
        </w:trPr>
        <w:tc>
          <w:tcPr>
            <w:tcW w:w="6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2019</w:t>
            </w:r>
          </w:p>
        </w:tc>
        <w:tc>
          <w:tcPr>
            <w:tcW w:w="4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w:t>
            </w:r>
          </w:p>
        </w:tc>
        <w:tc>
          <w:tcPr>
            <w:tcW w:w="70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5.8</w:t>
            </w:r>
          </w:p>
        </w:tc>
        <w:tc>
          <w:tcPr>
            <w:tcW w:w="100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0.31</w:t>
            </w:r>
          </w:p>
        </w:tc>
        <w:tc>
          <w:tcPr>
            <w:tcW w:w="74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w:t>
            </w:r>
          </w:p>
        </w:tc>
        <w:tc>
          <w:tcPr>
            <w:tcW w:w="71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0.07</w:t>
            </w:r>
          </w:p>
        </w:tc>
        <w:tc>
          <w:tcPr>
            <w:tcW w:w="61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Ⅴ</w:t>
            </w:r>
          </w:p>
        </w:tc>
        <w:tc>
          <w:tcPr>
            <w:tcW w:w="278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22" w:hRule="atLeast"/>
          <w:jc w:val="center"/>
        </w:trPr>
        <w:tc>
          <w:tcPr>
            <w:tcW w:w="6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2019</w:t>
            </w:r>
          </w:p>
        </w:tc>
        <w:tc>
          <w:tcPr>
            <w:tcW w:w="4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w:t>
            </w:r>
          </w:p>
        </w:tc>
        <w:tc>
          <w:tcPr>
            <w:tcW w:w="656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r>
              <w:rPr>
                <w:rFonts w:eastAsia="仿宋_GB2312" w:cs="Times New Roman"/>
                <w:sz w:val="18"/>
                <w:szCs w:val="18"/>
              </w:rPr>
              <w:t>冰封未测</w:t>
            </w:r>
          </w:p>
        </w:tc>
      </w:tr>
      <w:tr>
        <w:tblPrEx>
          <w:tblLayout w:type="fixed"/>
          <w:tblCellMar>
            <w:top w:w="0" w:type="dxa"/>
            <w:left w:w="0" w:type="dxa"/>
            <w:bottom w:w="0" w:type="dxa"/>
            <w:right w:w="0" w:type="dxa"/>
          </w:tblCellMar>
        </w:tblPrEx>
        <w:trPr>
          <w:trHeight w:val="379" w:hRule="atLeast"/>
          <w:jc w:val="center"/>
        </w:trPr>
        <w:tc>
          <w:tcPr>
            <w:tcW w:w="6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2019</w:t>
            </w:r>
          </w:p>
        </w:tc>
        <w:tc>
          <w:tcPr>
            <w:tcW w:w="4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w:t>
            </w:r>
          </w:p>
        </w:tc>
        <w:tc>
          <w:tcPr>
            <w:tcW w:w="70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7.8</w:t>
            </w:r>
          </w:p>
        </w:tc>
        <w:tc>
          <w:tcPr>
            <w:tcW w:w="100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0.21</w:t>
            </w:r>
          </w:p>
        </w:tc>
        <w:tc>
          <w:tcPr>
            <w:tcW w:w="74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26</w:t>
            </w:r>
          </w:p>
        </w:tc>
        <w:tc>
          <w:tcPr>
            <w:tcW w:w="71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0.18</w:t>
            </w:r>
          </w:p>
        </w:tc>
        <w:tc>
          <w:tcPr>
            <w:tcW w:w="61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Ⅳ</w:t>
            </w:r>
          </w:p>
        </w:tc>
        <w:tc>
          <w:tcPr>
            <w:tcW w:w="278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21" w:hRule="atLeast"/>
          <w:jc w:val="center"/>
        </w:trPr>
        <w:tc>
          <w:tcPr>
            <w:tcW w:w="6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2019</w:t>
            </w:r>
          </w:p>
        </w:tc>
        <w:tc>
          <w:tcPr>
            <w:tcW w:w="4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4</w:t>
            </w:r>
          </w:p>
        </w:tc>
        <w:tc>
          <w:tcPr>
            <w:tcW w:w="70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4.6</w:t>
            </w:r>
          </w:p>
        </w:tc>
        <w:tc>
          <w:tcPr>
            <w:tcW w:w="100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1.08</w:t>
            </w:r>
          </w:p>
        </w:tc>
        <w:tc>
          <w:tcPr>
            <w:tcW w:w="74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18</w:t>
            </w:r>
          </w:p>
        </w:tc>
        <w:tc>
          <w:tcPr>
            <w:tcW w:w="71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0.17</w:t>
            </w:r>
          </w:p>
        </w:tc>
        <w:tc>
          <w:tcPr>
            <w:tcW w:w="61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Ⅳ</w:t>
            </w:r>
          </w:p>
        </w:tc>
        <w:tc>
          <w:tcPr>
            <w:tcW w:w="278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08" w:hRule="atLeast"/>
          <w:jc w:val="center"/>
        </w:trPr>
        <w:tc>
          <w:tcPr>
            <w:tcW w:w="6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2019</w:t>
            </w:r>
          </w:p>
        </w:tc>
        <w:tc>
          <w:tcPr>
            <w:tcW w:w="4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5</w:t>
            </w:r>
          </w:p>
        </w:tc>
        <w:tc>
          <w:tcPr>
            <w:tcW w:w="70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7.4</w:t>
            </w:r>
          </w:p>
        </w:tc>
        <w:tc>
          <w:tcPr>
            <w:tcW w:w="100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0.66</w:t>
            </w:r>
          </w:p>
        </w:tc>
        <w:tc>
          <w:tcPr>
            <w:tcW w:w="74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33</w:t>
            </w:r>
          </w:p>
        </w:tc>
        <w:tc>
          <w:tcPr>
            <w:tcW w:w="71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0.2</w:t>
            </w:r>
          </w:p>
        </w:tc>
        <w:tc>
          <w:tcPr>
            <w:tcW w:w="61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Ⅴ</w:t>
            </w:r>
          </w:p>
        </w:tc>
        <w:tc>
          <w:tcPr>
            <w:tcW w:w="278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22" w:hRule="atLeast"/>
          <w:jc w:val="center"/>
        </w:trPr>
        <w:tc>
          <w:tcPr>
            <w:tcW w:w="6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2019</w:t>
            </w:r>
          </w:p>
        </w:tc>
        <w:tc>
          <w:tcPr>
            <w:tcW w:w="4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6</w:t>
            </w:r>
          </w:p>
        </w:tc>
        <w:tc>
          <w:tcPr>
            <w:tcW w:w="656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r>
              <w:rPr>
                <w:rFonts w:eastAsia="仿宋_GB2312" w:cs="Times New Roman"/>
                <w:sz w:val="18"/>
                <w:szCs w:val="18"/>
              </w:rPr>
              <w:t>施工断流未测</w:t>
            </w:r>
          </w:p>
        </w:tc>
      </w:tr>
      <w:tr>
        <w:tblPrEx>
          <w:tblLayout w:type="fixed"/>
          <w:tblCellMar>
            <w:top w:w="0" w:type="dxa"/>
            <w:left w:w="0" w:type="dxa"/>
            <w:bottom w:w="0" w:type="dxa"/>
            <w:right w:w="0" w:type="dxa"/>
          </w:tblCellMar>
        </w:tblPrEx>
        <w:trPr>
          <w:trHeight w:val="435" w:hRule="atLeast"/>
          <w:jc w:val="center"/>
        </w:trPr>
        <w:tc>
          <w:tcPr>
            <w:tcW w:w="6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2019</w:t>
            </w:r>
          </w:p>
        </w:tc>
        <w:tc>
          <w:tcPr>
            <w:tcW w:w="4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w:t>
            </w:r>
          </w:p>
        </w:tc>
        <w:tc>
          <w:tcPr>
            <w:tcW w:w="70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7.5</w:t>
            </w:r>
          </w:p>
        </w:tc>
        <w:tc>
          <w:tcPr>
            <w:tcW w:w="100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1.23</w:t>
            </w:r>
          </w:p>
        </w:tc>
        <w:tc>
          <w:tcPr>
            <w:tcW w:w="74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26</w:t>
            </w:r>
          </w:p>
        </w:tc>
        <w:tc>
          <w:tcPr>
            <w:tcW w:w="71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0.18</w:t>
            </w:r>
          </w:p>
        </w:tc>
        <w:tc>
          <w:tcPr>
            <w:tcW w:w="61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Ⅳ</w:t>
            </w:r>
          </w:p>
        </w:tc>
        <w:tc>
          <w:tcPr>
            <w:tcW w:w="278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r>
        <w:tblPrEx>
          <w:tblLayout w:type="fixed"/>
          <w:tblCellMar>
            <w:top w:w="0" w:type="dxa"/>
            <w:left w:w="0" w:type="dxa"/>
            <w:bottom w:w="0" w:type="dxa"/>
            <w:right w:w="0" w:type="dxa"/>
          </w:tblCellMar>
        </w:tblPrEx>
        <w:trPr>
          <w:trHeight w:val="407" w:hRule="atLeast"/>
          <w:jc w:val="center"/>
        </w:trPr>
        <w:tc>
          <w:tcPr>
            <w:tcW w:w="6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土门楼</w:t>
            </w:r>
          </w:p>
        </w:tc>
        <w:tc>
          <w:tcPr>
            <w:tcW w:w="65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北运河</w:t>
            </w:r>
          </w:p>
        </w:tc>
        <w:tc>
          <w:tcPr>
            <w:tcW w:w="49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2019</w:t>
            </w:r>
          </w:p>
        </w:tc>
        <w:tc>
          <w:tcPr>
            <w:tcW w:w="4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8</w:t>
            </w:r>
          </w:p>
        </w:tc>
        <w:tc>
          <w:tcPr>
            <w:tcW w:w="70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7.9</w:t>
            </w:r>
          </w:p>
        </w:tc>
        <w:tc>
          <w:tcPr>
            <w:tcW w:w="100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1.25</w:t>
            </w:r>
          </w:p>
        </w:tc>
        <w:tc>
          <w:tcPr>
            <w:tcW w:w="74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25</w:t>
            </w:r>
          </w:p>
        </w:tc>
        <w:tc>
          <w:tcPr>
            <w:tcW w:w="71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eastAsia="仿宋_GB2312" w:cs="Times New Roman"/>
                <w:sz w:val="18"/>
                <w:szCs w:val="18"/>
              </w:rPr>
              <w:t>0.23</w:t>
            </w:r>
          </w:p>
        </w:tc>
        <w:tc>
          <w:tcPr>
            <w:tcW w:w="61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eastAsia="仿宋_GB2312" w:cs="Times New Roman"/>
                <w:sz w:val="18"/>
                <w:szCs w:val="18"/>
              </w:rPr>
            </w:pPr>
            <w:r>
              <w:rPr>
                <w:rFonts w:cs="Times New Roman"/>
                <w:sz w:val="18"/>
                <w:szCs w:val="18"/>
              </w:rPr>
              <w:t>Ⅳ</w:t>
            </w:r>
          </w:p>
        </w:tc>
        <w:tc>
          <w:tcPr>
            <w:tcW w:w="278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360"/>
              <w:jc w:val="center"/>
              <w:rPr>
                <w:rFonts w:eastAsia="仿宋_GB2312" w:cs="Times New Roman"/>
                <w:sz w:val="18"/>
                <w:szCs w:val="18"/>
              </w:rPr>
            </w:pPr>
          </w:p>
        </w:tc>
      </w:tr>
    </w:tbl>
    <w:p>
      <w:pPr>
        <w:snapToGrid w:val="0"/>
        <w:spacing w:before="120" w:beforeLines="50" w:line="590" w:lineRule="exact"/>
        <w:ind w:firstLine="640"/>
        <w:rPr>
          <w:rFonts w:eastAsia="仿宋_GB2312" w:cs="Times New Roman"/>
          <w:sz w:val="32"/>
          <w:szCs w:val="32"/>
        </w:rPr>
      </w:pPr>
      <w:r>
        <w:rPr>
          <w:rFonts w:eastAsia="仿宋_GB2312" w:cs="Times New Roman"/>
          <w:sz w:val="32"/>
          <w:szCs w:val="32"/>
        </w:rPr>
        <w:t>2018年，土门楼断面监测8次（2月、5月、7月和11月断流），结果显示断面主要污染物指标年均值为COD28mg/L、氨氮0.96mg/L、总磷0.18mg/L，各项指标达到地表水</w:t>
      </w:r>
      <w:r>
        <w:rPr>
          <w:rFonts w:cs="Times New Roman"/>
          <w:sz w:val="32"/>
          <w:szCs w:val="32"/>
        </w:rPr>
        <w:t>Ⅳ</w:t>
      </w:r>
      <w:r>
        <w:rPr>
          <w:rFonts w:eastAsia="仿宋_GB2312" w:cs="Times New Roman"/>
          <w:sz w:val="32"/>
          <w:szCs w:val="32"/>
        </w:rPr>
        <w:t>类水体标准，达到考核要求，已提前一年完成消除劣V类任务。</w:t>
      </w:r>
    </w:p>
    <w:p>
      <w:pPr>
        <w:snapToGrid w:val="0"/>
        <w:spacing w:after="240" w:afterLines="100" w:line="590" w:lineRule="exact"/>
        <w:ind w:firstLine="640"/>
        <w:rPr>
          <w:rFonts w:eastAsia="仿宋_GB2312" w:cs="Times New Roman"/>
          <w:sz w:val="28"/>
          <w:szCs w:val="21"/>
        </w:rPr>
      </w:pPr>
      <w:r>
        <w:rPr>
          <w:rFonts w:eastAsia="仿宋_GB2312" w:cs="Times New Roman"/>
          <w:sz w:val="32"/>
          <w:szCs w:val="32"/>
        </w:rPr>
        <w:t>从2016</w:t>
      </w:r>
      <w:r>
        <w:rPr>
          <w:rFonts w:hint="eastAsia" w:eastAsia="仿宋_GB2312" w:cs="Times New Roman"/>
          <w:sz w:val="32"/>
          <w:szCs w:val="32"/>
        </w:rPr>
        <w:t>—</w:t>
      </w:r>
      <w:r>
        <w:rPr>
          <w:rFonts w:eastAsia="仿宋_GB2312" w:cs="Times New Roman"/>
          <w:sz w:val="32"/>
          <w:szCs w:val="32"/>
        </w:rPr>
        <w:t>2018年水质变化趋势来看，土门楼断面主要指标年均浓度均呈下降趋势</w:t>
      </w:r>
      <w:r>
        <w:rPr>
          <w:rFonts w:hint="eastAsia" w:eastAsia="仿宋_GB2312" w:cs="Times New Roman"/>
          <w:sz w:val="32"/>
          <w:szCs w:val="32"/>
        </w:rPr>
        <w:t>。</w:t>
      </w:r>
      <w:r>
        <w:rPr>
          <w:rFonts w:eastAsia="仿宋_GB2312" w:cs="Times New Roman"/>
          <w:sz w:val="32"/>
          <w:szCs w:val="32"/>
        </w:rPr>
        <w:t>2018年氨氮、总磷、化学需氧量和高锰酸盐指数浓度较2016年水平分别下降93.3%、88.1%、34.1%和33.9%，水质改善明显。土门楼断面主要污染物浓度变化情况见图3</w:t>
      </w:r>
      <w:r>
        <w:rPr>
          <w:rFonts w:hint="eastAsia" w:eastAsia="仿宋_GB2312"/>
          <w:sz w:val="32"/>
          <w:szCs w:val="32"/>
        </w:rPr>
        <w:t>-</w:t>
      </w:r>
      <w:r>
        <w:rPr>
          <w:rFonts w:eastAsia="仿宋_GB2312" w:cs="Times New Roman"/>
          <w:sz w:val="32"/>
          <w:szCs w:val="32"/>
        </w:rPr>
        <w:t>1。</w:t>
      </w:r>
    </w:p>
    <w:p>
      <w:pPr>
        <w:snapToGrid w:val="0"/>
        <w:spacing w:line="240" w:lineRule="auto"/>
        <w:ind w:firstLine="0" w:firstLineChars="0"/>
        <w:jc w:val="center"/>
        <w:rPr>
          <w:rFonts w:cs="Times New Roman"/>
        </w:rPr>
      </w:pPr>
      <w:r>
        <w:rPr>
          <w:rFonts w:cs="Times New Roman"/>
        </w:rPr>
        <w:drawing>
          <wp:inline distT="0" distB="0" distL="114300" distR="114300">
            <wp:extent cx="4407535" cy="2415540"/>
            <wp:effectExtent l="0" t="0" r="12065" b="3810"/>
            <wp:docPr id="5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0"/>
                    <pic:cNvPicPr>
                      <a:picLocks noChangeAspect="1"/>
                    </pic:cNvPicPr>
                  </pic:nvPicPr>
                  <pic:blipFill>
                    <a:blip r:embed="rId38"/>
                    <a:srcRect r="397"/>
                    <a:stretch>
                      <a:fillRect/>
                    </a:stretch>
                  </pic:blipFill>
                  <pic:spPr>
                    <a:xfrm>
                      <a:off x="0" y="0"/>
                      <a:ext cx="4407535" cy="2415540"/>
                    </a:xfrm>
                    <a:prstGeom prst="rect">
                      <a:avLst/>
                    </a:prstGeom>
                    <a:noFill/>
                    <a:ln w="9525">
                      <a:noFill/>
                    </a:ln>
                  </pic:spPr>
                </pic:pic>
              </a:graphicData>
            </a:graphic>
          </wp:inline>
        </w:drawing>
      </w:r>
    </w:p>
    <w:p>
      <w:pPr>
        <w:snapToGrid w:val="0"/>
        <w:spacing w:line="240" w:lineRule="auto"/>
        <w:ind w:firstLine="480"/>
        <w:jc w:val="center"/>
        <w:rPr>
          <w:rFonts w:cs="Times New Roman"/>
        </w:rPr>
      </w:pPr>
    </w:p>
    <w:p>
      <w:pPr>
        <w:snapToGrid w:val="0"/>
        <w:spacing w:line="240" w:lineRule="auto"/>
        <w:ind w:firstLine="640"/>
        <w:jc w:val="center"/>
        <w:rPr>
          <w:rFonts w:eastAsia="仿宋_GB2312" w:cs="Times New Roman"/>
          <w:sz w:val="32"/>
          <w:szCs w:val="32"/>
        </w:rPr>
      </w:pPr>
    </w:p>
    <w:p>
      <w:pPr>
        <w:snapToGrid w:val="0"/>
        <w:spacing w:line="240" w:lineRule="auto"/>
        <w:ind w:firstLine="0" w:firstLineChars="0"/>
        <w:jc w:val="center"/>
        <w:rPr>
          <w:rFonts w:hint="eastAsia" w:cs="Times New Roman"/>
        </w:rPr>
      </w:pPr>
      <w:r>
        <w:rPr>
          <w:rFonts w:cs="Times New Roman"/>
        </w:rPr>
        <w:drawing>
          <wp:inline distT="0" distB="0" distL="114300" distR="114300">
            <wp:extent cx="4421505" cy="2451100"/>
            <wp:effectExtent l="0" t="0" r="17145" b="6350"/>
            <wp:docPr id="3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1"/>
                    <pic:cNvPicPr>
                      <a:picLocks noChangeAspect="1"/>
                    </pic:cNvPicPr>
                  </pic:nvPicPr>
                  <pic:blipFill>
                    <a:blip r:embed="rId39"/>
                    <a:stretch>
                      <a:fillRect/>
                    </a:stretch>
                  </pic:blipFill>
                  <pic:spPr>
                    <a:xfrm>
                      <a:off x="0" y="0"/>
                      <a:ext cx="4421505" cy="2451100"/>
                    </a:xfrm>
                    <a:prstGeom prst="rect">
                      <a:avLst/>
                    </a:prstGeom>
                    <a:noFill/>
                    <a:ln w="9525">
                      <a:noFill/>
                    </a:ln>
                  </pic:spPr>
                </pic:pic>
              </a:graphicData>
            </a:graphic>
          </wp:inline>
        </w:drawing>
      </w:r>
    </w:p>
    <w:p>
      <w:pPr>
        <w:snapToGrid w:val="0"/>
        <w:spacing w:line="240" w:lineRule="auto"/>
        <w:ind w:firstLine="0" w:firstLineChars="0"/>
        <w:jc w:val="center"/>
        <w:rPr>
          <w:rFonts w:hint="eastAsia" w:cs="Times New Roman"/>
        </w:rPr>
      </w:pPr>
    </w:p>
    <w:p>
      <w:pPr>
        <w:snapToGrid w:val="0"/>
        <w:spacing w:line="240" w:lineRule="auto"/>
        <w:ind w:firstLine="0" w:firstLineChars="0"/>
        <w:jc w:val="center"/>
        <w:rPr>
          <w:rFonts w:hint="eastAsia" w:cs="Times New Roman"/>
        </w:rPr>
      </w:pPr>
    </w:p>
    <w:p>
      <w:pPr>
        <w:snapToGrid w:val="0"/>
        <w:spacing w:line="240" w:lineRule="auto"/>
        <w:ind w:firstLine="0" w:firstLineChars="0"/>
        <w:jc w:val="center"/>
        <w:rPr>
          <w:rFonts w:cs="Times New Roman"/>
        </w:rPr>
      </w:pPr>
      <w:r>
        <w:rPr>
          <w:rFonts w:cs="Times New Roman"/>
        </w:rPr>
        <w:drawing>
          <wp:inline distT="0" distB="0" distL="114300" distR="114300">
            <wp:extent cx="4432300" cy="2453640"/>
            <wp:effectExtent l="0" t="0" r="6350" b="3810"/>
            <wp:docPr id="3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2"/>
                    <pic:cNvPicPr>
                      <a:picLocks noChangeAspect="1"/>
                    </pic:cNvPicPr>
                  </pic:nvPicPr>
                  <pic:blipFill>
                    <a:blip r:embed="rId40"/>
                    <a:stretch>
                      <a:fillRect/>
                    </a:stretch>
                  </pic:blipFill>
                  <pic:spPr>
                    <a:xfrm>
                      <a:off x="0" y="0"/>
                      <a:ext cx="4432300" cy="2453640"/>
                    </a:xfrm>
                    <a:prstGeom prst="rect">
                      <a:avLst/>
                    </a:prstGeom>
                    <a:noFill/>
                    <a:ln w="9525">
                      <a:noFill/>
                    </a:ln>
                  </pic:spPr>
                </pic:pic>
              </a:graphicData>
            </a:graphic>
          </wp:inline>
        </w:drawing>
      </w:r>
    </w:p>
    <w:p>
      <w:pPr>
        <w:snapToGrid w:val="0"/>
        <w:spacing w:line="240" w:lineRule="auto"/>
        <w:ind w:firstLine="562"/>
        <w:jc w:val="center"/>
        <w:rPr>
          <w:rFonts w:hint="eastAsia" w:eastAsia="仿宋_GB2312" w:cs="Times New Roman"/>
          <w:b/>
          <w:sz w:val="28"/>
          <w:szCs w:val="28"/>
        </w:rPr>
      </w:pPr>
    </w:p>
    <w:p>
      <w:pPr>
        <w:snapToGrid w:val="0"/>
        <w:spacing w:line="240" w:lineRule="auto"/>
        <w:ind w:firstLine="0" w:firstLineChars="0"/>
        <w:jc w:val="center"/>
        <w:rPr>
          <w:rFonts w:eastAsia="仿宋_GB2312" w:cs="Times New Roman"/>
          <w:b/>
          <w:sz w:val="28"/>
          <w:szCs w:val="28"/>
        </w:rPr>
      </w:pPr>
      <w:r>
        <w:rPr>
          <w:rFonts w:cs="Times New Roman"/>
        </w:rPr>
        <w:drawing>
          <wp:inline distT="0" distB="0" distL="114300" distR="114300">
            <wp:extent cx="4432300" cy="2439035"/>
            <wp:effectExtent l="0" t="0" r="6350" b="18415"/>
            <wp:docPr id="3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3"/>
                    <pic:cNvPicPr>
                      <a:picLocks noChangeAspect="1"/>
                    </pic:cNvPicPr>
                  </pic:nvPicPr>
                  <pic:blipFill>
                    <a:blip r:embed="rId41"/>
                    <a:srcRect r="781"/>
                    <a:stretch>
                      <a:fillRect/>
                    </a:stretch>
                  </pic:blipFill>
                  <pic:spPr>
                    <a:xfrm>
                      <a:off x="0" y="0"/>
                      <a:ext cx="4432300" cy="2439035"/>
                    </a:xfrm>
                    <a:prstGeom prst="rect">
                      <a:avLst/>
                    </a:prstGeom>
                    <a:noFill/>
                    <a:ln w="9525">
                      <a:noFill/>
                    </a:ln>
                  </pic:spPr>
                </pic:pic>
              </a:graphicData>
            </a:graphic>
          </wp:inline>
        </w:drawing>
      </w:r>
    </w:p>
    <w:p>
      <w:pPr>
        <w:snapToGrid w:val="0"/>
        <w:spacing w:before="192" w:beforeLines="80" w:after="120" w:afterLines="50" w:line="240" w:lineRule="auto"/>
        <w:ind w:firstLine="482"/>
        <w:rPr>
          <w:rFonts w:eastAsia="仿宋_GB2312" w:cs="Times New Roman"/>
          <w:b/>
          <w:szCs w:val="21"/>
        </w:rPr>
      </w:pPr>
      <w:r>
        <w:rPr>
          <w:rFonts w:eastAsia="仿宋_GB2312" w:cs="Times New Roman"/>
          <w:b/>
          <w:szCs w:val="21"/>
        </w:rPr>
        <w:t>图3</w:t>
      </w:r>
      <w:r>
        <w:rPr>
          <w:rFonts w:hint="eastAsia" w:eastAsia="仿宋_GB2312"/>
          <w:szCs w:val="24"/>
        </w:rPr>
        <w:t>-</w:t>
      </w:r>
      <w:r>
        <w:rPr>
          <w:rFonts w:eastAsia="仿宋_GB2312" w:cs="Times New Roman"/>
          <w:b/>
          <w:szCs w:val="21"/>
        </w:rPr>
        <w:t>1</w:t>
      </w:r>
      <w:r>
        <w:rPr>
          <w:rFonts w:hint="eastAsia" w:eastAsia="仿宋_GB2312" w:cs="Times New Roman"/>
          <w:b/>
          <w:szCs w:val="21"/>
        </w:rPr>
        <w:t xml:space="preserve">  </w:t>
      </w:r>
      <w:r>
        <w:rPr>
          <w:rFonts w:eastAsia="仿宋_GB2312" w:cs="Times New Roman"/>
          <w:b/>
          <w:szCs w:val="21"/>
        </w:rPr>
        <w:t>2016</w:t>
      </w:r>
      <w:r>
        <w:rPr>
          <w:rFonts w:hint="eastAsia" w:eastAsia="仿宋_GB2312" w:cs="Times New Roman"/>
          <w:b/>
          <w:szCs w:val="21"/>
        </w:rPr>
        <w:t>—</w:t>
      </w:r>
      <w:r>
        <w:rPr>
          <w:rFonts w:eastAsia="仿宋_GB2312" w:cs="Times New Roman"/>
          <w:b/>
          <w:szCs w:val="21"/>
        </w:rPr>
        <w:t>2018年土门楼断面氨氮、总磷、化学需氧量和高锰酸盐指数浓度年际变化</w:t>
      </w:r>
    </w:p>
    <w:p>
      <w:pPr>
        <w:snapToGrid w:val="0"/>
        <w:spacing w:after="120" w:afterLines="50" w:line="590" w:lineRule="exact"/>
        <w:ind w:firstLine="640"/>
        <w:rPr>
          <w:rFonts w:hint="eastAsia" w:eastAsia="仿宋_GB2312" w:cs="Times New Roman"/>
          <w:sz w:val="32"/>
          <w:szCs w:val="32"/>
        </w:rPr>
      </w:pPr>
      <w:r>
        <w:rPr>
          <w:rFonts w:eastAsia="仿宋_GB2312" w:cs="Times New Roman"/>
          <w:sz w:val="32"/>
          <w:szCs w:val="32"/>
        </w:rPr>
        <w:t>从2016</w:t>
      </w:r>
      <w:r>
        <w:rPr>
          <w:rFonts w:hint="eastAsia" w:eastAsia="仿宋_GB2312" w:cs="Times New Roman"/>
          <w:sz w:val="32"/>
          <w:szCs w:val="32"/>
        </w:rPr>
        <w:t>—</w:t>
      </w:r>
      <w:r>
        <w:rPr>
          <w:rFonts w:eastAsia="仿宋_GB2312" w:cs="Times New Roman"/>
          <w:sz w:val="32"/>
          <w:szCs w:val="32"/>
        </w:rPr>
        <w:t>2018年逐月的水质达标情况看，3年间土门楼断面水质达标率分别为0%、50%、100%，呈逐年上升趋势，表明断面水质显著好转；2019年1</w:t>
      </w:r>
      <w:r>
        <w:rPr>
          <w:rFonts w:hint="eastAsia" w:eastAsia="仿宋_GB2312" w:cs="Times New Roman"/>
          <w:sz w:val="32"/>
          <w:szCs w:val="32"/>
        </w:rPr>
        <w:t>—</w:t>
      </w:r>
      <w:r>
        <w:rPr>
          <w:rFonts w:eastAsia="仿宋_GB2312" w:cs="Times New Roman"/>
          <w:sz w:val="32"/>
          <w:szCs w:val="32"/>
        </w:rPr>
        <w:t>8月水质达标率为100%，污染物浓度持续降低。土门楼断面主要污染物浓度逐月变化情况见图3</w:t>
      </w:r>
      <w:r>
        <w:rPr>
          <w:rFonts w:hint="eastAsia" w:eastAsia="仿宋_GB2312"/>
          <w:sz w:val="32"/>
          <w:szCs w:val="32"/>
        </w:rPr>
        <w:t>-</w:t>
      </w:r>
      <w:r>
        <w:rPr>
          <w:rFonts w:eastAsia="仿宋_GB2312" w:cs="Times New Roman"/>
          <w:sz w:val="32"/>
          <w:szCs w:val="32"/>
        </w:rPr>
        <w:t>2。</w:t>
      </w:r>
    </w:p>
    <w:p>
      <w:pPr>
        <w:snapToGrid w:val="0"/>
        <w:spacing w:after="120" w:afterLines="50" w:line="590" w:lineRule="exact"/>
        <w:ind w:firstLine="640"/>
        <w:rPr>
          <w:rFonts w:hint="eastAsia" w:eastAsia="仿宋_GB2312" w:cs="Times New Roman"/>
          <w:sz w:val="32"/>
          <w:szCs w:val="32"/>
        </w:rPr>
      </w:pPr>
    </w:p>
    <w:p>
      <w:pPr>
        <w:snapToGrid w:val="0"/>
        <w:spacing w:line="240" w:lineRule="auto"/>
        <w:ind w:firstLine="0" w:firstLineChars="0"/>
        <w:jc w:val="center"/>
        <w:rPr>
          <w:rFonts w:cs="Times New Roman"/>
        </w:rPr>
      </w:pPr>
      <w:r>
        <w:rPr>
          <w:rFonts w:cs="Times New Roman"/>
        </w:rPr>
        <w:drawing>
          <wp:inline distT="0" distB="0" distL="114300" distR="114300">
            <wp:extent cx="4740910" cy="2615565"/>
            <wp:effectExtent l="0" t="0" r="2540" b="13335"/>
            <wp:docPr id="3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4"/>
                    <pic:cNvPicPr>
                      <a:picLocks noChangeAspect="1"/>
                    </pic:cNvPicPr>
                  </pic:nvPicPr>
                  <pic:blipFill>
                    <a:blip r:embed="rId42"/>
                    <a:stretch>
                      <a:fillRect/>
                    </a:stretch>
                  </pic:blipFill>
                  <pic:spPr>
                    <a:xfrm>
                      <a:off x="0" y="0"/>
                      <a:ext cx="4740910" cy="2615565"/>
                    </a:xfrm>
                    <a:prstGeom prst="rect">
                      <a:avLst/>
                    </a:prstGeom>
                    <a:noFill/>
                    <a:ln w="9525">
                      <a:noFill/>
                    </a:ln>
                  </pic:spPr>
                </pic:pic>
              </a:graphicData>
            </a:graphic>
          </wp:inline>
        </w:drawing>
      </w:r>
    </w:p>
    <w:p>
      <w:pPr>
        <w:snapToGrid w:val="0"/>
        <w:spacing w:line="240" w:lineRule="auto"/>
        <w:ind w:firstLine="480"/>
        <w:jc w:val="center"/>
        <w:rPr>
          <w:rFonts w:cs="Times New Roman"/>
        </w:rPr>
      </w:pPr>
    </w:p>
    <w:p>
      <w:pPr>
        <w:snapToGrid w:val="0"/>
        <w:spacing w:line="240" w:lineRule="auto"/>
        <w:ind w:firstLine="560"/>
        <w:jc w:val="center"/>
        <w:rPr>
          <w:rFonts w:hint="eastAsia" w:eastAsia="仿宋_GB2312" w:cs="Times New Roman"/>
          <w:sz w:val="28"/>
          <w:szCs w:val="21"/>
        </w:rPr>
      </w:pPr>
    </w:p>
    <w:p>
      <w:pPr>
        <w:snapToGrid w:val="0"/>
        <w:spacing w:line="240" w:lineRule="auto"/>
        <w:ind w:firstLine="0" w:firstLineChars="0"/>
        <w:jc w:val="center"/>
        <w:rPr>
          <w:rFonts w:hint="eastAsia" w:cs="Times New Roman"/>
        </w:rPr>
      </w:pPr>
      <w:r>
        <w:rPr>
          <w:rFonts w:cs="Times New Roman"/>
        </w:rPr>
        <w:drawing>
          <wp:inline distT="0" distB="0" distL="114300" distR="114300">
            <wp:extent cx="4740910" cy="2609850"/>
            <wp:effectExtent l="0" t="0" r="2540" b="0"/>
            <wp:docPr id="3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5"/>
                    <pic:cNvPicPr>
                      <a:picLocks noChangeAspect="1"/>
                    </pic:cNvPicPr>
                  </pic:nvPicPr>
                  <pic:blipFill>
                    <a:blip r:embed="rId43"/>
                    <a:stretch>
                      <a:fillRect/>
                    </a:stretch>
                  </pic:blipFill>
                  <pic:spPr>
                    <a:xfrm>
                      <a:off x="0" y="0"/>
                      <a:ext cx="4740910" cy="2609850"/>
                    </a:xfrm>
                    <a:prstGeom prst="rect">
                      <a:avLst/>
                    </a:prstGeom>
                    <a:noFill/>
                    <a:ln w="9525">
                      <a:noFill/>
                    </a:ln>
                  </pic:spPr>
                </pic:pic>
              </a:graphicData>
            </a:graphic>
          </wp:inline>
        </w:drawing>
      </w:r>
    </w:p>
    <w:p>
      <w:pPr>
        <w:snapToGrid w:val="0"/>
        <w:spacing w:line="240" w:lineRule="auto"/>
        <w:ind w:firstLine="0" w:firstLineChars="0"/>
        <w:jc w:val="center"/>
        <w:rPr>
          <w:rFonts w:hint="eastAsia" w:cs="Times New Roman"/>
        </w:rPr>
      </w:pPr>
    </w:p>
    <w:p>
      <w:pPr>
        <w:snapToGrid w:val="0"/>
        <w:spacing w:line="240" w:lineRule="auto"/>
        <w:ind w:firstLine="0" w:firstLineChars="0"/>
        <w:jc w:val="center"/>
        <w:rPr>
          <w:rFonts w:hint="eastAsia" w:cs="Times New Roman"/>
        </w:rPr>
      </w:pPr>
    </w:p>
    <w:p>
      <w:pPr>
        <w:snapToGrid w:val="0"/>
        <w:spacing w:line="240" w:lineRule="auto"/>
        <w:ind w:firstLine="0" w:firstLineChars="0"/>
        <w:jc w:val="center"/>
        <w:rPr>
          <w:rFonts w:hint="eastAsia" w:cs="Times New Roman"/>
        </w:rPr>
      </w:pPr>
    </w:p>
    <w:p>
      <w:pPr>
        <w:snapToGrid w:val="0"/>
        <w:spacing w:line="240" w:lineRule="auto"/>
        <w:ind w:firstLine="0" w:firstLineChars="0"/>
        <w:jc w:val="center"/>
        <w:rPr>
          <w:rFonts w:hint="eastAsia" w:cs="Times New Roman"/>
        </w:rPr>
      </w:pPr>
    </w:p>
    <w:p>
      <w:pPr>
        <w:snapToGrid w:val="0"/>
        <w:spacing w:line="240" w:lineRule="auto"/>
        <w:ind w:firstLine="199" w:firstLineChars="83"/>
        <w:jc w:val="center"/>
        <w:rPr>
          <w:rFonts w:hint="eastAsia" w:cs="Times New Roman"/>
        </w:rPr>
      </w:pPr>
      <w:r>
        <w:rPr>
          <w:rFonts w:cs="Times New Roman"/>
        </w:rPr>
        <w:drawing>
          <wp:inline distT="0" distB="0" distL="114300" distR="114300">
            <wp:extent cx="4704080" cy="2597785"/>
            <wp:effectExtent l="0" t="0" r="1270" b="12065"/>
            <wp:docPr id="3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6"/>
                    <pic:cNvPicPr>
                      <a:picLocks noChangeAspect="1"/>
                    </pic:cNvPicPr>
                  </pic:nvPicPr>
                  <pic:blipFill>
                    <a:blip r:embed="rId44"/>
                    <a:stretch>
                      <a:fillRect/>
                    </a:stretch>
                  </pic:blipFill>
                  <pic:spPr>
                    <a:xfrm>
                      <a:off x="0" y="0"/>
                      <a:ext cx="4704080" cy="2597785"/>
                    </a:xfrm>
                    <a:prstGeom prst="rect">
                      <a:avLst/>
                    </a:prstGeom>
                    <a:noFill/>
                    <a:ln w="9525">
                      <a:noFill/>
                    </a:ln>
                  </pic:spPr>
                </pic:pic>
              </a:graphicData>
            </a:graphic>
          </wp:inline>
        </w:drawing>
      </w:r>
    </w:p>
    <w:p>
      <w:pPr>
        <w:snapToGrid w:val="0"/>
        <w:spacing w:line="240" w:lineRule="auto"/>
        <w:ind w:firstLine="199" w:firstLineChars="83"/>
        <w:jc w:val="center"/>
        <w:rPr>
          <w:rFonts w:hint="eastAsia" w:cs="Times New Roman"/>
        </w:rPr>
      </w:pPr>
    </w:p>
    <w:p>
      <w:pPr>
        <w:snapToGrid w:val="0"/>
        <w:spacing w:line="240" w:lineRule="auto"/>
        <w:ind w:firstLine="199" w:firstLineChars="83"/>
        <w:jc w:val="center"/>
        <w:rPr>
          <w:rFonts w:hint="eastAsia" w:cs="Times New Roman"/>
        </w:rPr>
      </w:pPr>
    </w:p>
    <w:p>
      <w:pPr>
        <w:snapToGrid w:val="0"/>
        <w:spacing w:line="240" w:lineRule="auto"/>
        <w:ind w:firstLine="0" w:firstLineChars="0"/>
        <w:jc w:val="center"/>
        <w:rPr>
          <w:rFonts w:eastAsia="仿宋_GB2312" w:cs="Times New Roman"/>
        </w:rPr>
      </w:pPr>
      <w:r>
        <w:rPr>
          <w:rFonts w:cs="Times New Roman"/>
        </w:rPr>
        <w:drawing>
          <wp:inline distT="0" distB="0" distL="114300" distR="114300">
            <wp:extent cx="4761230" cy="2679065"/>
            <wp:effectExtent l="0" t="0" r="1270" b="6985"/>
            <wp:docPr id="3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7"/>
                    <pic:cNvPicPr>
                      <a:picLocks noChangeAspect="1"/>
                    </pic:cNvPicPr>
                  </pic:nvPicPr>
                  <pic:blipFill>
                    <a:blip r:embed="rId45"/>
                    <a:stretch>
                      <a:fillRect/>
                    </a:stretch>
                  </pic:blipFill>
                  <pic:spPr>
                    <a:xfrm>
                      <a:off x="0" y="0"/>
                      <a:ext cx="4761230" cy="2679065"/>
                    </a:xfrm>
                    <a:prstGeom prst="rect">
                      <a:avLst/>
                    </a:prstGeom>
                    <a:noFill/>
                    <a:ln w="9525">
                      <a:noFill/>
                    </a:ln>
                  </pic:spPr>
                </pic:pic>
              </a:graphicData>
            </a:graphic>
          </wp:inline>
        </w:drawing>
      </w:r>
    </w:p>
    <w:p>
      <w:pPr>
        <w:snapToGrid w:val="0"/>
        <w:spacing w:before="192" w:beforeLines="80" w:after="120" w:afterLines="50" w:line="240" w:lineRule="auto"/>
        <w:ind w:firstLine="482"/>
        <w:rPr>
          <w:rFonts w:eastAsia="仿宋_GB2312" w:cs="Times New Roman"/>
          <w:szCs w:val="21"/>
        </w:rPr>
      </w:pPr>
      <w:r>
        <w:rPr>
          <w:rFonts w:eastAsia="仿宋_GB2312" w:cs="Times New Roman"/>
          <w:b/>
          <w:szCs w:val="21"/>
        </w:rPr>
        <w:t>图3</w:t>
      </w:r>
      <w:r>
        <w:rPr>
          <w:rFonts w:hint="eastAsia" w:eastAsia="仿宋_GB2312"/>
          <w:szCs w:val="24"/>
        </w:rPr>
        <w:t>-</w:t>
      </w:r>
      <w:r>
        <w:rPr>
          <w:rFonts w:eastAsia="仿宋_GB2312" w:cs="Times New Roman"/>
          <w:b/>
          <w:szCs w:val="21"/>
        </w:rPr>
        <w:t>2 2016</w:t>
      </w:r>
      <w:r>
        <w:rPr>
          <w:rFonts w:hint="eastAsia" w:eastAsia="仿宋_GB2312" w:cs="Times New Roman"/>
          <w:b/>
          <w:szCs w:val="21"/>
        </w:rPr>
        <w:t>—</w:t>
      </w:r>
      <w:r>
        <w:rPr>
          <w:rFonts w:eastAsia="仿宋_GB2312" w:cs="Times New Roman"/>
          <w:b/>
          <w:szCs w:val="21"/>
        </w:rPr>
        <w:t>2018年土门楼断面氨氮、总磷、化学需氧量和高锰酸盐指数浓度逐月变化</w:t>
      </w:r>
    </w:p>
    <w:p>
      <w:pPr>
        <w:snapToGrid w:val="0"/>
        <w:spacing w:line="600" w:lineRule="exact"/>
        <w:ind w:firstLine="643"/>
        <w:rPr>
          <w:rFonts w:eastAsia="仿宋_GB2312" w:cs="Times New Roman"/>
          <w:b/>
          <w:sz w:val="32"/>
          <w:szCs w:val="32"/>
        </w:rPr>
      </w:pPr>
      <w:r>
        <w:rPr>
          <w:rFonts w:eastAsia="仿宋_GB2312" w:cs="Times New Roman"/>
          <w:b/>
          <w:sz w:val="32"/>
          <w:szCs w:val="32"/>
        </w:rPr>
        <w:t>（2）</w:t>
      </w:r>
      <w:r>
        <w:rPr>
          <w:rFonts w:eastAsia="仿宋_GB2312" w:cs="Times New Roman"/>
          <w:b/>
          <w:sz w:val="32"/>
        </w:rPr>
        <w:t>小友垡排干渠入北运河口断面</w:t>
      </w:r>
    </w:p>
    <w:p>
      <w:pPr>
        <w:snapToGrid w:val="0"/>
        <w:spacing w:line="600" w:lineRule="exact"/>
        <w:ind w:firstLine="640"/>
        <w:rPr>
          <w:rFonts w:eastAsia="仿宋_GB2312" w:cs="Times New Roman"/>
          <w:sz w:val="32"/>
          <w:szCs w:val="32"/>
        </w:rPr>
      </w:pPr>
      <w:r>
        <w:rPr>
          <w:rFonts w:eastAsia="仿宋_GB2312" w:cs="Times New Roman"/>
          <w:sz w:val="32"/>
          <w:szCs w:val="32"/>
        </w:rPr>
        <w:t>以2017</w:t>
      </w:r>
      <w:r>
        <w:rPr>
          <w:rFonts w:hint="eastAsia" w:eastAsia="仿宋_GB2312" w:cs="Times New Roman"/>
          <w:sz w:val="32"/>
          <w:szCs w:val="32"/>
        </w:rPr>
        <w:t>—</w:t>
      </w:r>
      <w:r>
        <w:rPr>
          <w:rFonts w:eastAsia="仿宋_GB2312" w:cs="Times New Roman"/>
          <w:sz w:val="32"/>
          <w:szCs w:val="32"/>
        </w:rPr>
        <w:t>2018年小友垡排干渠入北运河口断面水质监测数据为依据进行分析，断面水质监测和评价结果详见表3</w:t>
      </w:r>
      <w:r>
        <w:rPr>
          <w:rFonts w:hint="eastAsia" w:eastAsia="仿宋_GB2312"/>
          <w:sz w:val="32"/>
          <w:szCs w:val="32"/>
        </w:rPr>
        <w:t>-</w:t>
      </w:r>
      <w:r>
        <w:rPr>
          <w:rFonts w:eastAsia="仿宋_GB2312" w:cs="Times New Roman"/>
          <w:sz w:val="32"/>
          <w:szCs w:val="32"/>
        </w:rPr>
        <w:t>4。</w:t>
      </w:r>
    </w:p>
    <w:p>
      <w:pPr>
        <w:spacing w:line="240" w:lineRule="auto"/>
        <w:ind w:firstLine="0" w:firstLineChars="0"/>
        <w:jc w:val="center"/>
        <w:rPr>
          <w:rFonts w:hint="eastAsia" w:ascii="黑体" w:hAnsi="黑体" w:eastAsia="黑体" w:cs="Times New Roman"/>
          <w:sz w:val="32"/>
          <w:szCs w:val="32"/>
        </w:rPr>
      </w:pPr>
      <w:r>
        <w:rPr>
          <w:rFonts w:eastAsia="仿宋_GB2312" w:cs="Times New Roman"/>
          <w:b/>
          <w:szCs w:val="28"/>
        </w:rPr>
        <w:br w:type="page"/>
      </w:r>
      <w:r>
        <w:rPr>
          <w:rFonts w:ascii="黑体" w:hAnsi="黑体" w:eastAsia="黑体" w:cs="Times New Roman"/>
          <w:sz w:val="32"/>
          <w:szCs w:val="32"/>
        </w:rPr>
        <w:t>表3</w:t>
      </w:r>
      <w:r>
        <w:rPr>
          <w:rFonts w:hint="eastAsia" w:eastAsia="仿宋_GB2312"/>
          <w:sz w:val="32"/>
          <w:szCs w:val="32"/>
        </w:rPr>
        <w:t>-</w:t>
      </w:r>
      <w:r>
        <w:rPr>
          <w:rFonts w:ascii="黑体" w:hAnsi="黑体" w:eastAsia="黑体" w:cs="Times New Roman"/>
          <w:sz w:val="32"/>
          <w:szCs w:val="32"/>
        </w:rPr>
        <w:t>4 2017</w:t>
      </w:r>
      <w:r>
        <w:rPr>
          <w:rFonts w:hint="eastAsia" w:ascii="黑体" w:hAnsi="黑体" w:eastAsia="黑体" w:cs="Times New Roman"/>
          <w:sz w:val="32"/>
          <w:szCs w:val="32"/>
        </w:rPr>
        <w:t>—</w:t>
      </w:r>
      <w:r>
        <w:rPr>
          <w:rFonts w:ascii="黑体" w:hAnsi="黑体" w:eastAsia="黑体" w:cs="Times New Roman"/>
          <w:sz w:val="32"/>
          <w:szCs w:val="32"/>
        </w:rPr>
        <w:t>2018年小友垡排干渠入北运河口断面水质</w:t>
      </w:r>
    </w:p>
    <w:p>
      <w:pPr>
        <w:spacing w:after="240" w:afterLines="100" w:line="240" w:lineRule="auto"/>
        <w:ind w:firstLine="0" w:firstLineChars="0"/>
        <w:jc w:val="center"/>
        <w:rPr>
          <w:rFonts w:ascii="黑体" w:hAnsi="黑体" w:eastAsia="黑体" w:cs="Times New Roman"/>
          <w:sz w:val="32"/>
          <w:szCs w:val="32"/>
        </w:rPr>
      </w:pPr>
      <w:r>
        <w:rPr>
          <w:rFonts w:ascii="黑体" w:hAnsi="黑体" w:eastAsia="黑体" w:cs="Times New Roman"/>
          <w:sz w:val="32"/>
          <w:szCs w:val="32"/>
        </w:rPr>
        <w:t>监</w:t>
      </w:r>
      <w:r>
        <w:rPr>
          <w:rFonts w:hint="eastAsia" w:ascii="黑体" w:hAnsi="黑体" w:eastAsia="黑体" w:cs="Times New Roman"/>
          <w:sz w:val="32"/>
          <w:szCs w:val="32"/>
        </w:rPr>
        <w:t>　</w:t>
      </w:r>
      <w:r>
        <w:rPr>
          <w:rFonts w:ascii="黑体" w:hAnsi="黑体" w:eastAsia="黑体" w:cs="Times New Roman"/>
          <w:sz w:val="32"/>
          <w:szCs w:val="32"/>
        </w:rPr>
        <w:t>测</w:t>
      </w:r>
      <w:r>
        <w:rPr>
          <w:rFonts w:hint="eastAsia" w:ascii="黑体" w:hAnsi="黑体" w:eastAsia="黑体" w:cs="Times New Roman"/>
          <w:sz w:val="32"/>
          <w:szCs w:val="32"/>
        </w:rPr>
        <w:t>　</w:t>
      </w:r>
      <w:r>
        <w:rPr>
          <w:rFonts w:ascii="黑体" w:hAnsi="黑体" w:eastAsia="黑体" w:cs="Times New Roman"/>
          <w:sz w:val="32"/>
          <w:szCs w:val="32"/>
        </w:rPr>
        <w:t>结</w:t>
      </w:r>
      <w:r>
        <w:rPr>
          <w:rFonts w:hint="eastAsia" w:ascii="黑体" w:hAnsi="黑体" w:eastAsia="黑体" w:cs="Times New Roman"/>
          <w:sz w:val="32"/>
          <w:szCs w:val="32"/>
        </w:rPr>
        <w:t>　</w:t>
      </w:r>
      <w:r>
        <w:rPr>
          <w:rFonts w:ascii="黑体" w:hAnsi="黑体" w:eastAsia="黑体" w:cs="Times New Roman"/>
          <w:sz w:val="32"/>
          <w:szCs w:val="32"/>
        </w:rPr>
        <w:t>果</w:t>
      </w:r>
    </w:p>
    <w:tbl>
      <w:tblPr>
        <w:tblStyle w:val="9"/>
        <w:tblW w:w="8819" w:type="dxa"/>
        <w:tblInd w:w="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74"/>
        <w:gridCol w:w="364"/>
        <w:gridCol w:w="742"/>
        <w:gridCol w:w="854"/>
        <w:gridCol w:w="756"/>
        <w:gridCol w:w="728"/>
        <w:gridCol w:w="742"/>
        <w:gridCol w:w="756"/>
        <w:gridCol w:w="559"/>
        <w:gridCol w:w="27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14" w:hRule="atLeast"/>
          <w:tblHeader/>
        </w:trPr>
        <w:tc>
          <w:tcPr>
            <w:tcW w:w="574" w:type="dxa"/>
            <w:vAlign w:val="center"/>
          </w:tcPr>
          <w:p>
            <w:pPr>
              <w:widowControl/>
              <w:adjustRightInd w:val="0"/>
              <w:snapToGrid w:val="0"/>
              <w:spacing w:line="240" w:lineRule="auto"/>
              <w:ind w:firstLine="0" w:firstLineChars="0"/>
              <w:jc w:val="center"/>
              <w:rPr>
                <w:rFonts w:eastAsia="仿宋_GB2312" w:cs="Times New Roman"/>
                <w:b/>
                <w:bCs/>
                <w:color w:val="000000"/>
                <w:spacing w:val="-6"/>
                <w:w w:val="95"/>
                <w:kern w:val="0"/>
                <w:sz w:val="21"/>
                <w:szCs w:val="21"/>
              </w:rPr>
            </w:pPr>
            <w:r>
              <w:rPr>
                <w:rFonts w:eastAsia="仿宋_GB2312" w:cs="Times New Roman"/>
                <w:b/>
                <w:bCs/>
                <w:color w:val="000000"/>
                <w:spacing w:val="-6"/>
                <w:w w:val="95"/>
                <w:kern w:val="0"/>
                <w:sz w:val="21"/>
                <w:szCs w:val="21"/>
              </w:rPr>
              <w:t>年</w:t>
            </w:r>
          </w:p>
        </w:tc>
        <w:tc>
          <w:tcPr>
            <w:tcW w:w="364" w:type="dxa"/>
            <w:vAlign w:val="center"/>
          </w:tcPr>
          <w:p>
            <w:pPr>
              <w:widowControl/>
              <w:adjustRightInd w:val="0"/>
              <w:snapToGrid w:val="0"/>
              <w:spacing w:line="240" w:lineRule="auto"/>
              <w:ind w:firstLine="0" w:firstLineChars="0"/>
              <w:jc w:val="center"/>
              <w:rPr>
                <w:rFonts w:eastAsia="仿宋_GB2312" w:cs="Times New Roman"/>
                <w:b/>
                <w:bCs/>
                <w:color w:val="000000"/>
                <w:spacing w:val="-6"/>
                <w:w w:val="95"/>
                <w:kern w:val="0"/>
                <w:sz w:val="21"/>
                <w:szCs w:val="21"/>
              </w:rPr>
            </w:pPr>
            <w:r>
              <w:rPr>
                <w:rFonts w:eastAsia="仿宋_GB2312" w:cs="Times New Roman"/>
                <w:b/>
                <w:bCs/>
                <w:color w:val="000000"/>
                <w:spacing w:val="-6"/>
                <w:w w:val="95"/>
                <w:kern w:val="0"/>
                <w:sz w:val="21"/>
                <w:szCs w:val="21"/>
              </w:rPr>
              <w:t>月</w:t>
            </w:r>
          </w:p>
        </w:tc>
        <w:tc>
          <w:tcPr>
            <w:tcW w:w="742" w:type="dxa"/>
            <w:vAlign w:val="center"/>
          </w:tcPr>
          <w:p>
            <w:pPr>
              <w:widowControl/>
              <w:adjustRightInd w:val="0"/>
              <w:snapToGrid w:val="0"/>
              <w:spacing w:line="240" w:lineRule="auto"/>
              <w:ind w:firstLine="0" w:firstLineChars="0"/>
              <w:jc w:val="center"/>
              <w:rPr>
                <w:rFonts w:eastAsia="仿宋_GB2312" w:cs="Times New Roman"/>
                <w:b/>
                <w:bCs/>
                <w:color w:val="000000"/>
                <w:spacing w:val="-6"/>
                <w:w w:val="95"/>
                <w:kern w:val="0"/>
                <w:sz w:val="21"/>
                <w:szCs w:val="21"/>
              </w:rPr>
            </w:pPr>
            <w:r>
              <w:rPr>
                <w:rFonts w:eastAsia="仿宋_GB2312" w:cs="Times New Roman"/>
                <w:b/>
                <w:bCs/>
                <w:color w:val="000000"/>
                <w:spacing w:val="-6"/>
                <w:w w:val="95"/>
                <w:kern w:val="0"/>
                <w:sz w:val="21"/>
                <w:szCs w:val="21"/>
              </w:rPr>
              <w:t>溶解氧（mg/L）</w:t>
            </w:r>
          </w:p>
        </w:tc>
        <w:tc>
          <w:tcPr>
            <w:tcW w:w="854" w:type="dxa"/>
            <w:vAlign w:val="center"/>
          </w:tcPr>
          <w:p>
            <w:pPr>
              <w:widowControl/>
              <w:adjustRightInd w:val="0"/>
              <w:snapToGrid w:val="0"/>
              <w:spacing w:line="240" w:lineRule="auto"/>
              <w:ind w:firstLine="0" w:firstLineChars="0"/>
              <w:jc w:val="center"/>
              <w:rPr>
                <w:rFonts w:eastAsia="仿宋_GB2312" w:cs="Times New Roman"/>
                <w:b/>
                <w:bCs/>
                <w:color w:val="000000"/>
                <w:spacing w:val="-6"/>
                <w:w w:val="95"/>
                <w:kern w:val="0"/>
                <w:sz w:val="21"/>
                <w:szCs w:val="21"/>
              </w:rPr>
            </w:pPr>
            <w:r>
              <w:rPr>
                <w:rFonts w:eastAsia="仿宋_GB2312" w:cs="Times New Roman"/>
                <w:b/>
                <w:bCs/>
                <w:color w:val="000000"/>
                <w:spacing w:val="-6"/>
                <w:w w:val="95"/>
                <w:kern w:val="0"/>
                <w:sz w:val="21"/>
                <w:szCs w:val="21"/>
              </w:rPr>
              <w:t>CODmn（mg/L）</w:t>
            </w:r>
          </w:p>
        </w:tc>
        <w:tc>
          <w:tcPr>
            <w:tcW w:w="756" w:type="dxa"/>
            <w:vAlign w:val="center"/>
          </w:tcPr>
          <w:p>
            <w:pPr>
              <w:widowControl/>
              <w:adjustRightInd w:val="0"/>
              <w:snapToGrid w:val="0"/>
              <w:spacing w:line="240" w:lineRule="auto"/>
              <w:ind w:firstLine="0" w:firstLineChars="0"/>
              <w:jc w:val="center"/>
              <w:rPr>
                <w:rFonts w:eastAsia="仿宋_GB2312" w:cs="Times New Roman"/>
                <w:b/>
                <w:bCs/>
                <w:color w:val="000000"/>
                <w:spacing w:val="-6"/>
                <w:w w:val="95"/>
                <w:kern w:val="0"/>
                <w:sz w:val="21"/>
                <w:szCs w:val="21"/>
              </w:rPr>
            </w:pPr>
            <w:r>
              <w:rPr>
                <w:rFonts w:eastAsia="仿宋_GB2312" w:cs="Times New Roman"/>
                <w:b/>
                <w:bCs/>
                <w:color w:val="000000"/>
                <w:spacing w:val="-6"/>
                <w:w w:val="95"/>
                <w:kern w:val="0"/>
                <w:sz w:val="21"/>
                <w:szCs w:val="21"/>
              </w:rPr>
              <w:t>BOD</w:t>
            </w:r>
            <w:r>
              <w:rPr>
                <w:rFonts w:eastAsia="仿宋_GB2312" w:cs="Times New Roman"/>
                <w:b/>
                <w:bCs/>
                <w:color w:val="000000"/>
                <w:spacing w:val="-6"/>
                <w:w w:val="95"/>
                <w:kern w:val="0"/>
                <w:sz w:val="21"/>
                <w:szCs w:val="21"/>
                <w:vertAlign w:val="subscript"/>
              </w:rPr>
              <w:t>5</w:t>
            </w:r>
            <w:r>
              <w:rPr>
                <w:rFonts w:eastAsia="仿宋_GB2312" w:cs="Times New Roman"/>
                <w:b/>
                <w:bCs/>
                <w:color w:val="000000"/>
                <w:spacing w:val="-6"/>
                <w:w w:val="95"/>
                <w:kern w:val="0"/>
                <w:sz w:val="21"/>
                <w:szCs w:val="21"/>
              </w:rPr>
              <w:t>（mg/L）</w:t>
            </w:r>
          </w:p>
        </w:tc>
        <w:tc>
          <w:tcPr>
            <w:tcW w:w="728" w:type="dxa"/>
            <w:vAlign w:val="center"/>
          </w:tcPr>
          <w:p>
            <w:pPr>
              <w:widowControl/>
              <w:adjustRightInd w:val="0"/>
              <w:snapToGrid w:val="0"/>
              <w:spacing w:line="240" w:lineRule="auto"/>
              <w:ind w:firstLine="0" w:firstLineChars="0"/>
              <w:jc w:val="center"/>
              <w:rPr>
                <w:rFonts w:eastAsia="仿宋_GB2312" w:cs="Times New Roman"/>
                <w:b/>
                <w:bCs/>
                <w:color w:val="000000"/>
                <w:spacing w:val="-6"/>
                <w:w w:val="95"/>
                <w:kern w:val="0"/>
                <w:sz w:val="21"/>
                <w:szCs w:val="21"/>
              </w:rPr>
            </w:pPr>
            <w:r>
              <w:rPr>
                <w:rFonts w:eastAsia="仿宋_GB2312" w:cs="Times New Roman"/>
                <w:b/>
                <w:bCs/>
                <w:color w:val="000000"/>
                <w:spacing w:val="-6"/>
                <w:w w:val="95"/>
                <w:kern w:val="0"/>
                <w:sz w:val="21"/>
                <w:szCs w:val="21"/>
              </w:rPr>
              <w:t>氨氮（mg/L）</w:t>
            </w:r>
          </w:p>
        </w:tc>
        <w:tc>
          <w:tcPr>
            <w:tcW w:w="742" w:type="dxa"/>
            <w:vAlign w:val="center"/>
          </w:tcPr>
          <w:p>
            <w:pPr>
              <w:widowControl/>
              <w:adjustRightInd w:val="0"/>
              <w:snapToGrid w:val="0"/>
              <w:spacing w:line="240" w:lineRule="auto"/>
              <w:ind w:firstLine="0" w:firstLineChars="0"/>
              <w:jc w:val="center"/>
              <w:rPr>
                <w:rFonts w:eastAsia="仿宋_GB2312" w:cs="Times New Roman"/>
                <w:b/>
                <w:bCs/>
                <w:color w:val="000000"/>
                <w:spacing w:val="-6"/>
                <w:w w:val="95"/>
                <w:kern w:val="0"/>
                <w:sz w:val="21"/>
                <w:szCs w:val="21"/>
              </w:rPr>
            </w:pPr>
            <w:r>
              <w:rPr>
                <w:rFonts w:eastAsia="仿宋_GB2312" w:cs="Times New Roman"/>
                <w:b/>
                <w:bCs/>
                <w:color w:val="000000"/>
                <w:spacing w:val="-6"/>
                <w:w w:val="95"/>
                <w:kern w:val="0"/>
                <w:sz w:val="21"/>
                <w:szCs w:val="21"/>
              </w:rPr>
              <w:t>CODcr（mg/L）</w:t>
            </w:r>
          </w:p>
        </w:tc>
        <w:tc>
          <w:tcPr>
            <w:tcW w:w="756" w:type="dxa"/>
            <w:vAlign w:val="center"/>
          </w:tcPr>
          <w:p>
            <w:pPr>
              <w:widowControl/>
              <w:adjustRightInd w:val="0"/>
              <w:snapToGrid w:val="0"/>
              <w:spacing w:line="240" w:lineRule="auto"/>
              <w:ind w:firstLine="0" w:firstLineChars="0"/>
              <w:jc w:val="center"/>
              <w:rPr>
                <w:rFonts w:eastAsia="仿宋_GB2312" w:cs="Times New Roman"/>
                <w:b/>
                <w:bCs/>
                <w:color w:val="000000"/>
                <w:spacing w:val="-6"/>
                <w:w w:val="95"/>
                <w:kern w:val="0"/>
                <w:sz w:val="21"/>
                <w:szCs w:val="21"/>
              </w:rPr>
            </w:pPr>
            <w:r>
              <w:rPr>
                <w:rFonts w:eastAsia="仿宋_GB2312" w:cs="Times New Roman"/>
                <w:b/>
                <w:bCs/>
                <w:color w:val="000000"/>
                <w:spacing w:val="-6"/>
                <w:w w:val="95"/>
                <w:kern w:val="0"/>
                <w:sz w:val="21"/>
                <w:szCs w:val="21"/>
              </w:rPr>
              <w:t>总磷（mg/L）</w:t>
            </w:r>
          </w:p>
        </w:tc>
        <w:tc>
          <w:tcPr>
            <w:tcW w:w="559" w:type="dxa"/>
            <w:vAlign w:val="center"/>
          </w:tcPr>
          <w:p>
            <w:pPr>
              <w:widowControl/>
              <w:adjustRightInd w:val="0"/>
              <w:snapToGrid w:val="0"/>
              <w:spacing w:line="240" w:lineRule="auto"/>
              <w:ind w:firstLine="0" w:firstLineChars="0"/>
              <w:jc w:val="center"/>
              <w:rPr>
                <w:rFonts w:eastAsia="仿宋_GB2312" w:cs="Times New Roman"/>
                <w:b/>
                <w:bCs/>
                <w:color w:val="000000"/>
                <w:spacing w:val="-6"/>
                <w:w w:val="95"/>
                <w:kern w:val="0"/>
                <w:sz w:val="21"/>
                <w:szCs w:val="21"/>
              </w:rPr>
            </w:pPr>
            <w:r>
              <w:rPr>
                <w:rFonts w:eastAsia="仿宋_GB2312" w:cs="Times New Roman"/>
                <w:b/>
                <w:bCs/>
                <w:color w:val="000000"/>
                <w:spacing w:val="-6"/>
                <w:w w:val="95"/>
                <w:kern w:val="0"/>
                <w:sz w:val="21"/>
                <w:szCs w:val="21"/>
              </w:rPr>
              <w:t>水质类别</w:t>
            </w:r>
          </w:p>
        </w:tc>
        <w:tc>
          <w:tcPr>
            <w:tcW w:w="2744" w:type="dxa"/>
            <w:vAlign w:val="center"/>
          </w:tcPr>
          <w:p>
            <w:pPr>
              <w:widowControl/>
              <w:adjustRightInd w:val="0"/>
              <w:snapToGrid w:val="0"/>
              <w:spacing w:line="240" w:lineRule="auto"/>
              <w:ind w:firstLine="0" w:firstLineChars="0"/>
              <w:jc w:val="center"/>
              <w:rPr>
                <w:rFonts w:eastAsia="仿宋_GB2312" w:cs="Times New Roman"/>
                <w:b/>
                <w:bCs/>
                <w:color w:val="000000"/>
                <w:spacing w:val="-6"/>
                <w:w w:val="95"/>
                <w:kern w:val="0"/>
                <w:sz w:val="21"/>
                <w:szCs w:val="21"/>
              </w:rPr>
            </w:pPr>
            <w:r>
              <w:rPr>
                <w:rFonts w:eastAsia="仿宋_GB2312" w:cs="Times New Roman"/>
                <w:b/>
                <w:bCs/>
                <w:color w:val="000000"/>
                <w:spacing w:val="-6"/>
                <w:w w:val="95"/>
                <w:kern w:val="0"/>
                <w:sz w:val="21"/>
                <w:szCs w:val="21"/>
              </w:rPr>
              <w:t>超标因子和倍数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261"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1.61</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13.0</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17.6</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16.50</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48.5</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2.56</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溶解氧、生化需氧量（0.8）、氨氮（7.3）、化学需氧量（0.2）、总磷（5.4）、阴离子表面活性剂（1.1）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97"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0.10</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8.8</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9.5</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16.35</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37.0</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1.39</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溶解氧、氨氮（7.2）、总磷（2.5）、阴离子表面活性剂（1.2）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330"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1.50</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11.2</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20.6</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16.35</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59.7</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1.69</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溶解氧、生化需氧量（1.1）、氨氮（7.2）、化学需氧量（0.5）、总磷（3.2）、阴离子表面活性剂（0.8）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344"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0.47</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15.9</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21.5</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12.90</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59.0</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1.35</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溶解氧、高锰酸盐指数（0.1）、生化需氧量（1.2）、氨氮（5.5）、化学需氧量（0.5）、总磷（2.4）、阴离子表面活性剂（0.3）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41"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0.78</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6.5</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7.3</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7.73</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27.0</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1.58</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溶解氧、氨氮（2.9）、总磷（3）、阴离子表面活性剂（0.1）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90"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1.20</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4.7</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5.5</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1.31</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18.5</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1.55</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溶解氧、总磷（2.9）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43"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2.08</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8.0</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12.3</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7.81</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36.0</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2.77</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生化需氧量（0.2）、氨氮（2.9）、总磷（5.9）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03"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1.91</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5.7</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9.3</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6.85</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29.0</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1.25</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溶解氧、氨氮（2.4）、总磷（2.1）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036"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1.30</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7.9</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12.7</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12.48</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41.0</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2.62</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溶解氧、生化需氧量（0.3）、氨氮（5.2）、化学需氧量（0.02）、总磷（5.5）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134"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3.19</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14.9</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17.4</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21.30</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51.0</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2.40</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生化需氧量（0.7）、氨氮（9.7）、化学需氧量（0.3）、总磷（5）、阴离子表面活性剂（0.1）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428"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年均</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1.41</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9.6</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13.4</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11.96</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40.7</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1.91</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溶解氧、生化需氧量（0.3）、氨氮（5）、化学需氧量（0.02）、总磷（3.8）、阴离子表面活性剂（0.2）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064"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1.63</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30.3</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38.5</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33.65</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168.0</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4.66</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溶解氧、高锰酸盐指数（1）、生化需氧量（2.9）、氨氮（15.8）、化学需氧量（3.2）、总磷（10.7）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079"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4.22</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18.7</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23.9</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21.57</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95.5</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1.20</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高锰酸盐指数（0.2）、生化需氧量（1.4）、氨氮（9.8）、化学需氧量（1.4）、总磷（2）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98"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2.57</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9.0</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10.6</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7.15</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42.7</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1.16</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生化需氧量（0.1）、氨氮（2.6）、化学需氧量（0.1）、总磷（1.9）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24"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5.83</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8.9</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11.3</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6.08</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35.5</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1.80</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生化需氧量（0.1）、氨氮（2）、总磷（3.5）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03"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3.97</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5.6</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8.4</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1.61</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30.8</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1.25</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总磷（2.1）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47"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2.32</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6.3</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9.1</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5.96</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33.5</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1.08</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氨氮（2）、总磷（1.7）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1"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6.74</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5.7</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7.6</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2.62</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23.3</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0.82</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总磷（1.1）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75"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6.31</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5.1</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7.9</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0.83</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26.5</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1.02</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总磷（1.6）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162"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4.46</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5.3</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11.8</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2.23</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47.7</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0.84</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生化需氧量（0.2）、化学需氧量（0.2）、总磷（1.1）、氟化物（0.3）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33"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4.97</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3.7</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7.9</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1.16</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24.5</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0.55</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总磷（0.4）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25" w:hRule="atLeast"/>
        </w:trPr>
        <w:tc>
          <w:tcPr>
            <w:tcW w:w="57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36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年均</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4.40</w:t>
            </w:r>
          </w:p>
        </w:tc>
        <w:tc>
          <w:tcPr>
            <w:tcW w:w="854"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8.5</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12.0</w:t>
            </w:r>
          </w:p>
        </w:tc>
        <w:tc>
          <w:tcPr>
            <w:tcW w:w="728"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6.56</w:t>
            </w:r>
          </w:p>
        </w:tc>
        <w:tc>
          <w:tcPr>
            <w:tcW w:w="742"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45.0</w:t>
            </w:r>
          </w:p>
        </w:tc>
        <w:tc>
          <w:tcPr>
            <w:tcW w:w="756"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1.30</w:t>
            </w:r>
          </w:p>
        </w:tc>
        <w:tc>
          <w:tcPr>
            <w:tcW w:w="559" w:type="dxa"/>
            <w:vAlign w:val="center"/>
          </w:tcPr>
          <w:p>
            <w:pPr>
              <w:widowControl/>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744" w:type="dxa"/>
            <w:vAlign w:val="center"/>
          </w:tcPr>
          <w:p>
            <w:pPr>
              <w:widowControl/>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生化需氧量（0.2）、氨氮（2.3）、化学需氧量（0.1）、总磷（2.3）</w:t>
            </w:r>
          </w:p>
        </w:tc>
      </w:tr>
    </w:tbl>
    <w:p>
      <w:pPr>
        <w:snapToGrid w:val="0"/>
        <w:spacing w:before="192" w:beforeLines="80" w:after="240" w:afterLines="100" w:line="620" w:lineRule="exact"/>
        <w:ind w:firstLine="640"/>
        <w:rPr>
          <w:rFonts w:eastAsia="仿宋_GB2312" w:cs="Times New Roman"/>
          <w:sz w:val="32"/>
          <w:szCs w:val="32"/>
        </w:rPr>
      </w:pPr>
      <w:r>
        <w:rPr>
          <w:rFonts w:eastAsia="仿宋_GB2312" w:cs="Times New Roman"/>
          <w:sz w:val="32"/>
          <w:szCs w:val="32"/>
        </w:rPr>
        <w:t>根据2017</w:t>
      </w:r>
      <w:r>
        <w:rPr>
          <w:rFonts w:hint="eastAsia" w:eastAsia="仿宋_GB2312" w:cs="Times New Roman"/>
          <w:sz w:val="32"/>
          <w:szCs w:val="32"/>
        </w:rPr>
        <w:t>—</w:t>
      </w:r>
      <w:r>
        <w:rPr>
          <w:rFonts w:eastAsia="仿宋_GB2312" w:cs="Times New Roman"/>
          <w:sz w:val="32"/>
          <w:szCs w:val="32"/>
        </w:rPr>
        <w:t>2018年小友垡排干渠入北运河口断面水质监测结果，2017、2018年断面水质类别均为劣</w:t>
      </w:r>
      <w:r>
        <w:rPr>
          <w:rFonts w:cs="Times New Roman"/>
          <w:sz w:val="32"/>
          <w:szCs w:val="32"/>
        </w:rPr>
        <w:t>Ⅴ</w:t>
      </w:r>
      <w:r>
        <w:rPr>
          <w:rFonts w:eastAsia="仿宋_GB2312" w:cs="Times New Roman"/>
          <w:sz w:val="32"/>
          <w:szCs w:val="32"/>
        </w:rPr>
        <w:t>类，主要超标因子（超</w:t>
      </w:r>
      <w:r>
        <w:rPr>
          <w:rFonts w:cs="Times New Roman"/>
          <w:sz w:val="32"/>
          <w:szCs w:val="32"/>
        </w:rPr>
        <w:t>Ⅴ</w:t>
      </w:r>
      <w:r>
        <w:rPr>
          <w:rFonts w:eastAsia="仿宋_GB2312" w:cs="Times New Roman"/>
          <w:sz w:val="32"/>
          <w:szCs w:val="32"/>
        </w:rPr>
        <w:t>类）为总磷、氨氮、生化需氧量和化学需氧量。从各水质指标浓度变化情况来看，2018年，断面氨氮、总磷、高锰酸盐指数、生化需氧量年均浓度较2017年分别降低45.1%、31.8%、11.7%、10%，但化学需氧量年均浓度呈上升趋势，同比升高10.7%。2017</w:t>
      </w:r>
      <w:r>
        <w:rPr>
          <w:rFonts w:hint="eastAsia" w:eastAsia="仿宋_GB2312" w:cs="Times New Roman"/>
          <w:sz w:val="32"/>
          <w:szCs w:val="32"/>
        </w:rPr>
        <w:t>—</w:t>
      </w:r>
      <w:r>
        <w:rPr>
          <w:rFonts w:eastAsia="仿宋_GB2312" w:cs="Times New Roman"/>
          <w:sz w:val="32"/>
          <w:szCs w:val="32"/>
        </w:rPr>
        <w:t>2018年小友垡排干渠入北运河口断面主要污染物逐月浓度变化情况见图3</w:t>
      </w:r>
      <w:r>
        <w:rPr>
          <w:rFonts w:hint="eastAsia" w:eastAsia="仿宋_GB2312"/>
          <w:sz w:val="32"/>
          <w:szCs w:val="32"/>
        </w:rPr>
        <w:t>-</w:t>
      </w:r>
      <w:r>
        <w:rPr>
          <w:rFonts w:eastAsia="仿宋_GB2312" w:cs="Times New Roman"/>
          <w:sz w:val="32"/>
          <w:szCs w:val="32"/>
        </w:rPr>
        <w:t>3。</w:t>
      </w:r>
    </w:p>
    <w:p>
      <w:pPr>
        <w:snapToGrid w:val="0"/>
        <w:spacing w:line="240" w:lineRule="auto"/>
        <w:ind w:firstLine="0" w:firstLineChars="0"/>
        <w:jc w:val="center"/>
        <w:rPr>
          <w:rFonts w:cs="Times New Roman"/>
        </w:rPr>
      </w:pPr>
      <w:r>
        <w:rPr>
          <w:rFonts w:cs="Times New Roman"/>
        </w:rPr>
        <w:drawing>
          <wp:inline distT="0" distB="0" distL="114300" distR="114300">
            <wp:extent cx="5142865" cy="2842895"/>
            <wp:effectExtent l="0" t="0" r="635" b="14605"/>
            <wp:docPr id="3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8"/>
                    <pic:cNvPicPr>
                      <a:picLocks noChangeAspect="1"/>
                    </pic:cNvPicPr>
                  </pic:nvPicPr>
                  <pic:blipFill>
                    <a:blip r:embed="rId46"/>
                    <a:stretch>
                      <a:fillRect/>
                    </a:stretch>
                  </pic:blipFill>
                  <pic:spPr>
                    <a:xfrm>
                      <a:off x="0" y="0"/>
                      <a:ext cx="5142865" cy="2842895"/>
                    </a:xfrm>
                    <a:prstGeom prst="rect">
                      <a:avLst/>
                    </a:prstGeom>
                    <a:noFill/>
                    <a:ln w="9525">
                      <a:noFill/>
                    </a:ln>
                  </pic:spPr>
                </pic:pic>
              </a:graphicData>
            </a:graphic>
          </wp:inline>
        </w:drawing>
      </w:r>
    </w:p>
    <w:p>
      <w:pPr>
        <w:snapToGrid w:val="0"/>
        <w:spacing w:line="240" w:lineRule="auto"/>
        <w:ind w:firstLine="480"/>
        <w:jc w:val="center"/>
        <w:rPr>
          <w:rFonts w:hint="eastAsia" w:eastAsia="仿宋_GB2312" w:cs="Times New Roman"/>
        </w:rPr>
      </w:pPr>
    </w:p>
    <w:p>
      <w:pPr>
        <w:snapToGrid w:val="0"/>
        <w:spacing w:line="240" w:lineRule="auto"/>
        <w:ind w:firstLine="480"/>
        <w:jc w:val="center"/>
        <w:rPr>
          <w:rFonts w:hint="eastAsia" w:eastAsia="仿宋_GB2312" w:cs="Times New Roman"/>
        </w:rPr>
      </w:pPr>
    </w:p>
    <w:p>
      <w:pPr>
        <w:snapToGrid w:val="0"/>
        <w:spacing w:line="240" w:lineRule="auto"/>
        <w:ind w:firstLine="480"/>
        <w:jc w:val="center"/>
        <w:rPr>
          <w:rFonts w:hint="eastAsia" w:eastAsia="仿宋_GB2312" w:cs="Times New Roman"/>
        </w:rPr>
      </w:pPr>
    </w:p>
    <w:p>
      <w:pPr>
        <w:snapToGrid w:val="0"/>
        <w:spacing w:line="240" w:lineRule="auto"/>
        <w:ind w:firstLine="480"/>
        <w:jc w:val="center"/>
        <w:rPr>
          <w:rFonts w:eastAsia="仿宋_GB2312" w:cs="Times New Roman"/>
        </w:rPr>
      </w:pPr>
    </w:p>
    <w:p>
      <w:pPr>
        <w:snapToGrid w:val="0"/>
        <w:spacing w:line="240" w:lineRule="auto"/>
        <w:ind w:firstLine="0" w:firstLineChars="0"/>
        <w:jc w:val="center"/>
        <w:rPr>
          <w:rFonts w:eastAsia="仿宋_GB2312" w:cs="Times New Roman"/>
        </w:rPr>
      </w:pPr>
      <w:r>
        <w:rPr>
          <w:rFonts w:cs="Times New Roman"/>
        </w:rPr>
        <w:drawing>
          <wp:inline distT="0" distB="0" distL="114300" distR="114300">
            <wp:extent cx="5226685" cy="2886710"/>
            <wp:effectExtent l="0" t="0" r="12065" b="8890"/>
            <wp:docPr id="3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9"/>
                    <pic:cNvPicPr>
                      <a:picLocks noChangeAspect="1"/>
                    </pic:cNvPicPr>
                  </pic:nvPicPr>
                  <pic:blipFill>
                    <a:blip r:embed="rId47"/>
                    <a:stretch>
                      <a:fillRect/>
                    </a:stretch>
                  </pic:blipFill>
                  <pic:spPr>
                    <a:xfrm>
                      <a:off x="0" y="0"/>
                      <a:ext cx="5226685" cy="2886710"/>
                    </a:xfrm>
                    <a:prstGeom prst="rect">
                      <a:avLst/>
                    </a:prstGeom>
                    <a:noFill/>
                    <a:ln w="9525">
                      <a:noFill/>
                    </a:ln>
                  </pic:spPr>
                </pic:pic>
              </a:graphicData>
            </a:graphic>
          </wp:inline>
        </w:drawing>
      </w:r>
    </w:p>
    <w:p>
      <w:pPr>
        <w:snapToGrid w:val="0"/>
        <w:spacing w:line="240" w:lineRule="auto"/>
        <w:ind w:firstLine="0" w:firstLineChars="0"/>
        <w:jc w:val="center"/>
        <w:rPr>
          <w:rFonts w:cs="Times New Roman"/>
        </w:rPr>
      </w:pPr>
      <w:r>
        <w:rPr>
          <w:rFonts w:cs="Times New Roman"/>
        </w:rPr>
        <w:drawing>
          <wp:inline distT="0" distB="0" distL="114300" distR="114300">
            <wp:extent cx="5315585" cy="2935605"/>
            <wp:effectExtent l="0" t="0" r="18415" b="17145"/>
            <wp:docPr id="3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0"/>
                    <pic:cNvPicPr>
                      <a:picLocks noChangeAspect="1"/>
                    </pic:cNvPicPr>
                  </pic:nvPicPr>
                  <pic:blipFill>
                    <a:blip r:embed="rId48"/>
                    <a:stretch>
                      <a:fillRect/>
                    </a:stretch>
                  </pic:blipFill>
                  <pic:spPr>
                    <a:xfrm>
                      <a:off x="0" y="0"/>
                      <a:ext cx="5315585" cy="2935605"/>
                    </a:xfrm>
                    <a:prstGeom prst="rect">
                      <a:avLst/>
                    </a:prstGeom>
                    <a:noFill/>
                    <a:ln w="9525">
                      <a:noFill/>
                    </a:ln>
                  </pic:spPr>
                </pic:pic>
              </a:graphicData>
            </a:graphic>
          </wp:inline>
        </w:drawing>
      </w:r>
    </w:p>
    <w:p>
      <w:pPr>
        <w:snapToGrid w:val="0"/>
        <w:spacing w:line="240" w:lineRule="auto"/>
        <w:ind w:firstLine="480"/>
        <w:jc w:val="center"/>
        <w:rPr>
          <w:rFonts w:hint="eastAsia" w:eastAsia="仿宋_GB2312" w:cs="Times New Roman"/>
        </w:rPr>
      </w:pPr>
    </w:p>
    <w:p>
      <w:pPr>
        <w:snapToGrid w:val="0"/>
        <w:spacing w:line="240" w:lineRule="auto"/>
        <w:ind w:firstLine="480"/>
        <w:jc w:val="center"/>
        <w:rPr>
          <w:rFonts w:hint="eastAsia" w:eastAsia="仿宋_GB2312" w:cs="Times New Roman"/>
        </w:rPr>
      </w:pPr>
    </w:p>
    <w:p>
      <w:pPr>
        <w:snapToGrid w:val="0"/>
        <w:spacing w:line="240" w:lineRule="auto"/>
        <w:ind w:firstLine="480"/>
        <w:jc w:val="center"/>
        <w:rPr>
          <w:rFonts w:hint="eastAsia" w:eastAsia="仿宋_GB2312" w:cs="Times New Roman"/>
        </w:rPr>
      </w:pPr>
    </w:p>
    <w:p>
      <w:pPr>
        <w:snapToGrid w:val="0"/>
        <w:spacing w:line="240" w:lineRule="auto"/>
        <w:ind w:firstLine="480"/>
        <w:jc w:val="center"/>
        <w:rPr>
          <w:rFonts w:hint="eastAsia" w:eastAsia="仿宋_GB2312" w:cs="Times New Roman"/>
        </w:rPr>
      </w:pPr>
    </w:p>
    <w:p>
      <w:pPr>
        <w:snapToGrid w:val="0"/>
        <w:spacing w:line="240" w:lineRule="auto"/>
        <w:ind w:firstLine="480"/>
        <w:jc w:val="center"/>
        <w:rPr>
          <w:rFonts w:hint="eastAsia" w:eastAsia="仿宋_GB2312" w:cs="Times New Roman"/>
        </w:rPr>
      </w:pPr>
    </w:p>
    <w:p>
      <w:pPr>
        <w:snapToGrid w:val="0"/>
        <w:spacing w:line="240" w:lineRule="auto"/>
        <w:ind w:firstLine="0" w:firstLineChars="0"/>
        <w:jc w:val="center"/>
        <w:rPr>
          <w:rFonts w:eastAsia="仿宋_GB2312" w:cs="Times New Roman"/>
        </w:rPr>
      </w:pPr>
      <w:r>
        <w:rPr>
          <w:rFonts w:cs="Times New Roman"/>
        </w:rPr>
        <w:drawing>
          <wp:inline distT="0" distB="0" distL="114300" distR="114300">
            <wp:extent cx="5346700" cy="2955925"/>
            <wp:effectExtent l="0" t="0" r="6350" b="15875"/>
            <wp:docPr id="4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1"/>
                    <pic:cNvPicPr>
                      <a:picLocks noChangeAspect="1"/>
                    </pic:cNvPicPr>
                  </pic:nvPicPr>
                  <pic:blipFill>
                    <a:blip r:embed="rId49"/>
                    <a:stretch>
                      <a:fillRect/>
                    </a:stretch>
                  </pic:blipFill>
                  <pic:spPr>
                    <a:xfrm>
                      <a:off x="0" y="0"/>
                      <a:ext cx="5346700" cy="2955925"/>
                    </a:xfrm>
                    <a:prstGeom prst="rect">
                      <a:avLst/>
                    </a:prstGeom>
                    <a:noFill/>
                    <a:ln w="9525">
                      <a:noFill/>
                    </a:ln>
                  </pic:spPr>
                </pic:pic>
              </a:graphicData>
            </a:graphic>
          </wp:inline>
        </w:drawing>
      </w:r>
    </w:p>
    <w:p>
      <w:pPr>
        <w:snapToGrid w:val="0"/>
        <w:spacing w:line="240" w:lineRule="auto"/>
        <w:ind w:firstLine="0" w:firstLineChars="0"/>
        <w:jc w:val="center"/>
        <w:rPr>
          <w:rFonts w:eastAsia="仿宋_GB2312" w:cs="Times New Roman"/>
        </w:rPr>
      </w:pPr>
      <w:r>
        <w:rPr>
          <w:rFonts w:cs="Times New Roman"/>
        </w:rPr>
        <w:drawing>
          <wp:inline distT="0" distB="0" distL="114300" distR="114300">
            <wp:extent cx="5273675" cy="2900680"/>
            <wp:effectExtent l="0" t="0" r="3175" b="13970"/>
            <wp:docPr id="4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2"/>
                    <pic:cNvPicPr>
                      <a:picLocks noChangeAspect="1"/>
                    </pic:cNvPicPr>
                  </pic:nvPicPr>
                  <pic:blipFill>
                    <a:blip r:embed="rId50"/>
                    <a:stretch>
                      <a:fillRect/>
                    </a:stretch>
                  </pic:blipFill>
                  <pic:spPr>
                    <a:xfrm>
                      <a:off x="0" y="0"/>
                      <a:ext cx="5273675" cy="2900680"/>
                    </a:xfrm>
                    <a:prstGeom prst="rect">
                      <a:avLst/>
                    </a:prstGeom>
                    <a:noFill/>
                    <a:ln w="9525">
                      <a:noFill/>
                    </a:ln>
                  </pic:spPr>
                </pic:pic>
              </a:graphicData>
            </a:graphic>
          </wp:inline>
        </w:drawing>
      </w:r>
    </w:p>
    <w:p>
      <w:pPr>
        <w:snapToGrid w:val="0"/>
        <w:spacing w:before="240" w:beforeLines="100" w:line="360" w:lineRule="exact"/>
        <w:ind w:firstLine="482"/>
        <w:rPr>
          <w:rFonts w:eastAsia="仿宋_GB2312" w:cs="Times New Roman"/>
          <w:b/>
          <w:szCs w:val="21"/>
        </w:rPr>
      </w:pPr>
      <w:r>
        <w:rPr>
          <w:rFonts w:eastAsia="仿宋_GB2312" w:cs="Times New Roman"/>
          <w:b/>
          <w:szCs w:val="21"/>
        </w:rPr>
        <w:t>图3</w:t>
      </w:r>
      <w:r>
        <w:rPr>
          <w:rFonts w:hint="eastAsia" w:eastAsia="仿宋_GB2312"/>
          <w:szCs w:val="24"/>
        </w:rPr>
        <w:t>-</w:t>
      </w:r>
      <w:r>
        <w:rPr>
          <w:rFonts w:eastAsia="仿宋_GB2312" w:cs="Times New Roman"/>
          <w:b/>
          <w:szCs w:val="21"/>
        </w:rPr>
        <w:t>3 2017</w:t>
      </w:r>
      <w:r>
        <w:rPr>
          <w:rFonts w:hint="eastAsia" w:eastAsia="仿宋_GB2312" w:cs="Times New Roman"/>
          <w:b/>
          <w:szCs w:val="21"/>
        </w:rPr>
        <w:t>—</w:t>
      </w:r>
      <w:r>
        <w:rPr>
          <w:rFonts w:eastAsia="仿宋_GB2312" w:cs="Times New Roman"/>
          <w:b/>
          <w:szCs w:val="21"/>
        </w:rPr>
        <w:t>2018年小友垡排干渠入北运河口断面氨氮、总磷、溶解氧、生化需氧量和化学需氧量指标浓度逐月变化</w:t>
      </w:r>
    </w:p>
    <w:p>
      <w:pPr>
        <w:pStyle w:val="4"/>
        <w:autoSpaceDN w:val="0"/>
        <w:adjustRightInd w:val="0"/>
        <w:snapToGrid w:val="0"/>
        <w:spacing w:before="120" w:beforeLines="50" w:line="580" w:lineRule="exact"/>
        <w:ind w:firstLine="643"/>
      </w:pPr>
      <w:bookmarkStart w:id="399" w:name="_Toc21720681"/>
      <w:bookmarkStart w:id="400" w:name="_Toc31321"/>
      <w:bookmarkStart w:id="401" w:name="_Toc21189"/>
      <w:bookmarkStart w:id="402" w:name="_Toc10115"/>
      <w:bookmarkStart w:id="403" w:name="_Toc27882"/>
      <w:bookmarkStart w:id="404" w:name="_Toc3446"/>
      <w:bookmarkStart w:id="405" w:name="_Toc12472"/>
      <w:bookmarkStart w:id="406" w:name="_Toc10969"/>
      <w:bookmarkStart w:id="407" w:name="_Toc10386"/>
      <w:bookmarkStart w:id="408" w:name="_Toc12038"/>
      <w:bookmarkStart w:id="409" w:name="_Toc24356"/>
      <w:r>
        <w:t>3.3.2水境质量现状分析</w:t>
      </w:r>
      <w:bookmarkEnd w:id="399"/>
      <w:bookmarkEnd w:id="400"/>
      <w:bookmarkEnd w:id="401"/>
      <w:bookmarkEnd w:id="402"/>
      <w:bookmarkEnd w:id="403"/>
      <w:bookmarkEnd w:id="404"/>
      <w:bookmarkEnd w:id="405"/>
      <w:bookmarkEnd w:id="406"/>
      <w:bookmarkEnd w:id="407"/>
      <w:bookmarkEnd w:id="408"/>
      <w:bookmarkEnd w:id="409"/>
    </w:p>
    <w:p>
      <w:pPr>
        <w:pStyle w:val="11"/>
        <w:autoSpaceDN w:val="0"/>
        <w:adjustRightInd w:val="0"/>
        <w:snapToGrid w:val="0"/>
        <w:spacing w:line="580" w:lineRule="exact"/>
        <w:ind w:firstLine="640"/>
        <w:rPr>
          <w:rFonts w:eastAsia="仿宋_GB2312"/>
          <w:sz w:val="32"/>
          <w:szCs w:val="32"/>
        </w:rPr>
      </w:pPr>
      <w:r>
        <w:rPr>
          <w:rFonts w:eastAsia="仿宋_GB2312"/>
          <w:sz w:val="32"/>
          <w:szCs w:val="32"/>
        </w:rPr>
        <w:t>北运河香河段来水由北运河通州段及牛牧屯引河提供，入境断面为王家摆断面，王家摆断面至下游土门楼断面之间，有凤港减河、小友垡排干渠、秦营干渠三条支流汇入，有青龙湾河作为北运河分流。其中，凤港减河由北京市通州区流入；秦营干渠为凤港减河分流，在北京界内分流后，南向流入天津市武清区，后东向汇入北运河；小友垡</w:t>
      </w:r>
      <w:r>
        <w:rPr>
          <w:rFonts w:hint="eastAsia" w:eastAsia="仿宋_GB2312"/>
          <w:sz w:val="32"/>
          <w:szCs w:val="32"/>
        </w:rPr>
        <w:t>排</w:t>
      </w:r>
      <w:r>
        <w:rPr>
          <w:rFonts w:eastAsia="仿宋_GB2312"/>
          <w:sz w:val="32"/>
          <w:szCs w:val="32"/>
        </w:rPr>
        <w:t>干渠是唯一全线位于香河县境内的北运河支流，该渠现作为香河县安平镇污水及雨水排水渠；青龙湾是北运河主要分流，后续汇入潮白河水系。</w:t>
      </w:r>
    </w:p>
    <w:p>
      <w:pPr>
        <w:adjustRightInd w:val="0"/>
        <w:snapToGrid w:val="0"/>
        <w:spacing w:line="590" w:lineRule="exact"/>
        <w:ind w:firstLine="640"/>
        <w:rPr>
          <w:rFonts w:eastAsia="仿宋_GB2312" w:cs="Times New Roman"/>
          <w:kern w:val="0"/>
          <w:sz w:val="32"/>
          <w:szCs w:val="32"/>
        </w:rPr>
      </w:pPr>
      <w:r>
        <w:rPr>
          <w:rFonts w:eastAsia="仿宋_GB2312" w:cs="Times New Roman"/>
          <w:kern w:val="0"/>
          <w:sz w:val="32"/>
          <w:szCs w:val="32"/>
        </w:rPr>
        <w:t>从北运河的水量来源上看，主要为城镇生活污水处理厂尾水，以及少量沿线直排生活污水、雨水及工业废水等。其中，污水处理厂尾水主要来源为上游北京市境内的肖家河污水处理厂、清河污水处理厂、北小河污水处理厂、酒仙河污水处理厂、高碑店污水处理厂、方庄污水处理厂、吴家村污水处理厂、卢家沟污水处理厂、小红门污水处理厂和亦庄开发区污水处理厂等，因此北运河实际水量、水质情况与上游北京市境内污水处理厂排放尾水的水量、水质密切相关。现状北京市主要城镇生活污水处理厂（以高碑店污水处理厂为例）对COD、BOD</w:t>
      </w:r>
      <w:r>
        <w:rPr>
          <w:rFonts w:eastAsia="仿宋_GB2312" w:cs="Times New Roman"/>
          <w:kern w:val="0"/>
          <w:sz w:val="32"/>
          <w:szCs w:val="32"/>
          <w:vertAlign w:val="subscript"/>
        </w:rPr>
        <w:t>5</w:t>
      </w:r>
      <w:r>
        <w:rPr>
          <w:rFonts w:eastAsia="仿宋_GB2312" w:cs="Times New Roman"/>
          <w:kern w:val="0"/>
          <w:sz w:val="32"/>
          <w:szCs w:val="32"/>
        </w:rPr>
        <w:t>、SS的去除效率较高，基本在90%以上，但是对总磷、总氮的去除效率较低，仅为60%</w:t>
      </w:r>
      <w:r>
        <w:rPr>
          <w:rFonts w:hint="eastAsia" w:eastAsia="仿宋_GB2312" w:cs="Times New Roman"/>
          <w:kern w:val="0"/>
          <w:sz w:val="32"/>
          <w:szCs w:val="32"/>
        </w:rPr>
        <w:t>—</w:t>
      </w:r>
      <w:r>
        <w:rPr>
          <w:rFonts w:eastAsia="仿宋_GB2312" w:cs="Times New Roman"/>
          <w:kern w:val="0"/>
          <w:sz w:val="32"/>
          <w:szCs w:val="32"/>
        </w:rPr>
        <w:t>70%，从而导致目前城市河流中总磷、氨氮、总氮浓度仍然偏高。</w:t>
      </w:r>
    </w:p>
    <w:p>
      <w:pPr>
        <w:adjustRightInd w:val="0"/>
        <w:snapToGrid w:val="0"/>
        <w:spacing w:line="590" w:lineRule="exact"/>
        <w:ind w:firstLine="640"/>
        <w:rPr>
          <w:rFonts w:eastAsia="仿宋_GB2312" w:cs="Times New Roman"/>
          <w:kern w:val="0"/>
          <w:sz w:val="32"/>
          <w:szCs w:val="32"/>
        </w:rPr>
      </w:pPr>
      <w:r>
        <w:rPr>
          <w:rFonts w:eastAsia="仿宋_GB2312" w:cs="Times New Roman"/>
          <w:kern w:val="0"/>
          <w:sz w:val="32"/>
          <w:szCs w:val="32"/>
        </w:rPr>
        <w:t>此外，北运河香河段主要水环境功能为上游污染自净削减区。从北运河主要断面沿程水质变化情况来看，对于北运河而言，是其氨氮及TP自然削减段，对凤港减河而言，则是其COD优先削减段，两者交汇后，在香河段进一步通过环境自净作用进行削减。因此，北运河香河段现状水环境质量可定位为上游来水水质影响区，应充分维持上述水生态功能。</w:t>
      </w:r>
    </w:p>
    <w:p>
      <w:pPr>
        <w:pStyle w:val="2"/>
        <w:autoSpaceDN w:val="0"/>
        <w:adjustRightInd w:val="0"/>
        <w:snapToGrid w:val="0"/>
        <w:spacing w:line="590" w:lineRule="exact"/>
        <w:ind w:firstLine="640"/>
        <w:jc w:val="both"/>
        <w:rPr>
          <w:bCs w:val="0"/>
          <w:kern w:val="2"/>
          <w:szCs w:val="32"/>
        </w:rPr>
      </w:pPr>
      <w:bookmarkStart w:id="410" w:name="_Toc21720682"/>
      <w:r>
        <w:rPr>
          <w:bCs w:val="0"/>
          <w:kern w:val="2"/>
          <w:szCs w:val="32"/>
        </w:rPr>
        <w:t>四、污染源状况</w:t>
      </w:r>
      <w:bookmarkEnd w:id="410"/>
    </w:p>
    <w:p>
      <w:pPr>
        <w:adjustRightInd w:val="0"/>
        <w:snapToGrid w:val="0"/>
        <w:spacing w:line="590" w:lineRule="exact"/>
        <w:ind w:firstLine="616"/>
        <w:rPr>
          <w:rFonts w:eastAsia="仿宋_GB2312" w:cs="Times New Roman"/>
          <w:spacing w:val="-6"/>
          <w:sz w:val="32"/>
          <w:szCs w:val="32"/>
        </w:rPr>
      </w:pPr>
      <w:r>
        <w:rPr>
          <w:rFonts w:eastAsia="仿宋_GB2312" w:cs="Times New Roman"/>
          <w:spacing w:val="-6"/>
          <w:sz w:val="32"/>
          <w:szCs w:val="32"/>
        </w:rPr>
        <w:t>区域污染源在北运河西侧主要包括：安平镇及周边的生活污染及城市面源污染、凤港减河北面的农村生活畜禽污染及种植面源污染，西侧污染主要汇入北运河、凤港减河以及小友垡</w:t>
      </w:r>
      <w:r>
        <w:rPr>
          <w:rFonts w:hint="eastAsia" w:eastAsia="仿宋_GB2312" w:cs="Times New Roman"/>
          <w:spacing w:val="-6"/>
          <w:sz w:val="32"/>
          <w:szCs w:val="32"/>
        </w:rPr>
        <w:t>排</w:t>
      </w:r>
      <w:r>
        <w:rPr>
          <w:rFonts w:eastAsia="仿宋_GB2312" w:cs="Times New Roman"/>
          <w:spacing w:val="-6"/>
          <w:sz w:val="32"/>
          <w:szCs w:val="32"/>
        </w:rPr>
        <w:t>干渠。</w:t>
      </w:r>
    </w:p>
    <w:p>
      <w:pPr>
        <w:autoSpaceDN w:val="0"/>
        <w:adjustRightInd w:val="0"/>
        <w:snapToGrid w:val="0"/>
        <w:spacing w:line="590" w:lineRule="exact"/>
        <w:ind w:firstLine="624"/>
        <w:rPr>
          <w:rFonts w:eastAsia="仿宋_GB2312" w:cs="Times New Roman"/>
          <w:spacing w:val="-4"/>
          <w:sz w:val="32"/>
          <w:szCs w:val="32"/>
        </w:rPr>
      </w:pPr>
      <w:r>
        <w:rPr>
          <w:rFonts w:eastAsia="仿宋_GB2312" w:cs="Times New Roman"/>
          <w:spacing w:val="-4"/>
          <w:sz w:val="32"/>
          <w:szCs w:val="32"/>
        </w:rPr>
        <w:t>北运河东侧区域污染源主要来源于香五自流渠西侧的城市待建区，目前该区域主要为农田、农村、林地及部分工业用地。根据香河县城排水管网规划，待建区污水经收集后进入双安污水厂，双安污水厂尾水则排入香五自流渠，不进入北运河香河段，故县城扩展区的生活源及城市面源不纳入北运河污染源解析范围。</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同时，区域地形西部高东部低，加之北运河堤防较为完善，北运河堤坝以东的区域面源污染不汇入北运河，也不予纳入达标方案修订讨论分析；北运河东</w:t>
      </w:r>
      <w:r>
        <w:rPr>
          <w:rFonts w:hint="eastAsia" w:eastAsia="仿宋_GB2312" w:cs="Times New Roman"/>
          <w:sz w:val="32"/>
          <w:szCs w:val="32"/>
        </w:rPr>
        <w:t>—</w:t>
      </w:r>
      <w:r>
        <w:rPr>
          <w:rFonts w:eastAsia="仿宋_GB2312" w:cs="Times New Roman"/>
          <w:sz w:val="32"/>
          <w:szCs w:val="32"/>
        </w:rPr>
        <w:t>香五自流渠以西区域主要考虑河堤内的各类污染源。</w:t>
      </w:r>
    </w:p>
    <w:p>
      <w:pPr>
        <w:autoSpaceDN w:val="0"/>
        <w:adjustRightInd w:val="0"/>
        <w:snapToGrid w:val="0"/>
        <w:spacing w:after="192" w:afterLines="80" w:line="580" w:lineRule="exact"/>
        <w:ind w:firstLine="640"/>
        <w:rPr>
          <w:rFonts w:eastAsia="仿宋_GB2312" w:cs="Times New Roman"/>
          <w:sz w:val="32"/>
          <w:szCs w:val="32"/>
        </w:rPr>
      </w:pPr>
      <w:r>
        <w:rPr>
          <w:rFonts w:eastAsia="仿宋_GB2312" w:cs="Times New Roman"/>
          <w:sz w:val="32"/>
          <w:szCs w:val="32"/>
        </w:rPr>
        <w:t>北运河香河段</w:t>
      </w:r>
      <w:bookmarkStart w:id="411" w:name="_Hlk11598816"/>
      <w:r>
        <w:rPr>
          <w:rFonts w:eastAsia="仿宋_GB2312" w:cs="Times New Roman"/>
          <w:sz w:val="32"/>
          <w:szCs w:val="32"/>
        </w:rPr>
        <w:t>水系和产排污区域</w:t>
      </w:r>
      <w:bookmarkEnd w:id="411"/>
      <w:r>
        <w:rPr>
          <w:rFonts w:eastAsia="仿宋_GB2312" w:cs="Times New Roman"/>
          <w:sz w:val="32"/>
          <w:szCs w:val="32"/>
        </w:rPr>
        <w:t>概化示意图如下：</w:t>
      </w:r>
    </w:p>
    <w:p>
      <w:pPr>
        <w:autoSpaceDN w:val="0"/>
        <w:ind w:firstLine="0" w:firstLineChars="0"/>
        <w:jc w:val="center"/>
        <w:rPr>
          <w:rFonts w:eastAsia="仿宋_GB2312" w:cs="Times New Roman"/>
          <w:szCs w:val="24"/>
        </w:rPr>
      </w:pPr>
      <w:r>
        <w:rPr>
          <w:rFonts w:eastAsia="仿宋_GB2312" w:cs="Times New Roman"/>
        </w:rPr>
        <w:drawing>
          <wp:inline distT="0" distB="0" distL="114300" distR="114300">
            <wp:extent cx="4194810" cy="4298950"/>
            <wp:effectExtent l="0" t="0" r="15240" b="6350"/>
            <wp:docPr id="42" name="图片 53" descr="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3" descr="image28"/>
                    <pic:cNvPicPr>
                      <a:picLocks noChangeAspect="1"/>
                    </pic:cNvPicPr>
                  </pic:nvPicPr>
                  <pic:blipFill>
                    <a:blip r:embed="rId51"/>
                    <a:stretch>
                      <a:fillRect/>
                    </a:stretch>
                  </pic:blipFill>
                  <pic:spPr>
                    <a:xfrm>
                      <a:off x="0" y="0"/>
                      <a:ext cx="4194810" cy="4298950"/>
                    </a:xfrm>
                    <a:prstGeom prst="rect">
                      <a:avLst/>
                    </a:prstGeom>
                    <a:noFill/>
                    <a:ln w="9525">
                      <a:noFill/>
                    </a:ln>
                  </pic:spPr>
                </pic:pic>
              </a:graphicData>
            </a:graphic>
          </wp:inline>
        </w:drawing>
      </w:r>
    </w:p>
    <w:p>
      <w:pPr>
        <w:autoSpaceDN w:val="0"/>
        <w:spacing w:before="192" w:beforeLines="80" w:after="240" w:afterLines="100" w:line="240" w:lineRule="auto"/>
        <w:ind w:firstLine="482"/>
        <w:jc w:val="center"/>
        <w:rPr>
          <w:rFonts w:eastAsia="仿宋_GB2312" w:cs="Times New Roman"/>
          <w:b/>
          <w:bCs/>
          <w:szCs w:val="28"/>
        </w:rPr>
      </w:pPr>
      <w:r>
        <w:rPr>
          <w:rFonts w:eastAsia="仿宋_GB2312" w:cs="Times New Roman"/>
          <w:b/>
          <w:bCs/>
          <w:szCs w:val="28"/>
        </w:rPr>
        <w:t>图4</w:t>
      </w:r>
      <w:r>
        <w:rPr>
          <w:rFonts w:hint="eastAsia" w:eastAsia="仿宋_GB2312"/>
          <w:szCs w:val="24"/>
        </w:rPr>
        <w:t>-</w:t>
      </w:r>
      <w:r>
        <w:rPr>
          <w:rFonts w:eastAsia="仿宋_GB2312" w:cs="Times New Roman"/>
          <w:b/>
          <w:bCs/>
          <w:szCs w:val="28"/>
        </w:rPr>
        <w:t>1</w:t>
      </w:r>
      <w:r>
        <w:rPr>
          <w:rFonts w:hint="eastAsia" w:eastAsia="仿宋_GB2312" w:cs="Times New Roman"/>
          <w:b/>
          <w:bCs/>
          <w:szCs w:val="28"/>
        </w:rPr>
        <w:t>　</w:t>
      </w:r>
      <w:r>
        <w:rPr>
          <w:rFonts w:eastAsia="仿宋_GB2312" w:cs="Times New Roman"/>
          <w:b/>
          <w:bCs/>
          <w:szCs w:val="28"/>
        </w:rPr>
        <w:t>北运河控制单元水系和产排污区域示意图</w:t>
      </w:r>
    </w:p>
    <w:p>
      <w:pPr>
        <w:pStyle w:val="3"/>
        <w:autoSpaceDN w:val="0"/>
        <w:snapToGrid w:val="0"/>
        <w:spacing w:line="576" w:lineRule="exact"/>
        <w:ind w:firstLine="643"/>
        <w:rPr>
          <w:rFonts w:eastAsia="楷体_GB2312"/>
          <w:bCs w:val="0"/>
        </w:rPr>
      </w:pPr>
      <w:bookmarkStart w:id="412" w:name="_Toc21720683"/>
      <w:r>
        <w:rPr>
          <w:rFonts w:eastAsia="楷体_GB2312"/>
          <w:bCs w:val="0"/>
        </w:rPr>
        <w:t>4.1点源污染</w:t>
      </w:r>
      <w:bookmarkEnd w:id="412"/>
    </w:p>
    <w:p>
      <w:pPr>
        <w:pStyle w:val="4"/>
        <w:autoSpaceDN w:val="0"/>
        <w:snapToGrid w:val="0"/>
        <w:spacing w:line="576" w:lineRule="exact"/>
        <w:ind w:firstLine="643"/>
      </w:pPr>
      <w:bookmarkStart w:id="413" w:name="_Toc21720684"/>
      <w:r>
        <w:t>4.1.1城镇生活源</w:t>
      </w:r>
      <w:bookmarkEnd w:id="413"/>
    </w:p>
    <w:p>
      <w:pPr>
        <w:autoSpaceDN w:val="0"/>
        <w:spacing w:line="576" w:lineRule="exact"/>
        <w:ind w:firstLine="640"/>
        <w:rPr>
          <w:rFonts w:eastAsia="仿宋_GB2312" w:cs="Times New Roman"/>
          <w:sz w:val="32"/>
          <w:szCs w:val="32"/>
        </w:rPr>
      </w:pPr>
      <w:r>
        <w:rPr>
          <w:rFonts w:eastAsia="仿宋_GB2312" w:cs="Times New Roman"/>
          <w:sz w:val="32"/>
          <w:szCs w:val="32"/>
        </w:rPr>
        <w:t>现状北运河廊坊市控制单元内城镇生活污水主要通过市政污水管网收集后，输送至安平污水处理厂（一期）项目进行处理，同时该污水处理厂处理废水也包括管网收集的安平镇附近的工业企业污水。</w:t>
      </w:r>
    </w:p>
    <w:p>
      <w:pPr>
        <w:autoSpaceDN w:val="0"/>
        <w:spacing w:line="576" w:lineRule="exact"/>
        <w:ind w:firstLine="640"/>
        <w:rPr>
          <w:rFonts w:eastAsia="仿宋_GB2312" w:cs="Times New Roman"/>
          <w:sz w:val="32"/>
          <w:szCs w:val="32"/>
        </w:rPr>
      </w:pPr>
      <w:r>
        <w:rPr>
          <w:rFonts w:eastAsia="仿宋_GB2312" w:cs="Times New Roman"/>
          <w:sz w:val="32"/>
          <w:szCs w:val="32"/>
        </w:rPr>
        <w:t>安平污水处理厂（一期）项目设计处理能力1.5万吨，污水处理厂尾水排入小友垡干渠，并最终汇入北运河。原北运河达标方案编制和实施前，安平污水处理厂（一期）项目出水水质未完全达到一级A标准。2018年，污水处理厂活性污泥法改生物膜法工艺改造完成后，出水指标可稳定满足《城镇污水处理厂污染物排放标准》（GB18918</w:t>
      </w:r>
      <w:r>
        <w:rPr>
          <w:rFonts w:hint="eastAsia" w:eastAsia="仿宋_GB2312" w:cs="Times New Roman"/>
          <w:sz w:val="32"/>
          <w:szCs w:val="32"/>
        </w:rPr>
        <w:t>—</w:t>
      </w:r>
      <w:r>
        <w:rPr>
          <w:rFonts w:eastAsia="仿宋_GB2312" w:cs="Times New Roman"/>
          <w:sz w:val="32"/>
          <w:szCs w:val="32"/>
        </w:rPr>
        <w:t>2002）一级A要求。</w:t>
      </w:r>
    </w:p>
    <w:p>
      <w:pPr>
        <w:autoSpaceDN w:val="0"/>
        <w:spacing w:line="576" w:lineRule="exact"/>
        <w:ind w:firstLine="640"/>
        <w:rPr>
          <w:rFonts w:eastAsia="仿宋_GB2312" w:cs="Times New Roman"/>
          <w:sz w:val="32"/>
          <w:szCs w:val="32"/>
        </w:rPr>
      </w:pPr>
      <w:r>
        <w:rPr>
          <w:rFonts w:eastAsia="仿宋_GB2312" w:cs="Times New Roman"/>
          <w:sz w:val="32"/>
          <w:szCs w:val="32"/>
        </w:rPr>
        <w:t>2018年6月份，安平污水厂尾水深度净化工程正式投入使用，该项目进水指标为《城镇污水处理厂污染物排放标准》（GB18918</w:t>
      </w:r>
      <w:r>
        <w:rPr>
          <w:rFonts w:hint="eastAsia" w:eastAsia="仿宋_GB2312" w:cs="Times New Roman"/>
          <w:sz w:val="32"/>
          <w:szCs w:val="32"/>
        </w:rPr>
        <w:t>—</w:t>
      </w:r>
      <w:r>
        <w:rPr>
          <w:rFonts w:eastAsia="仿宋_GB2312" w:cs="Times New Roman"/>
          <w:sz w:val="32"/>
          <w:szCs w:val="32"/>
        </w:rPr>
        <w:t>2002）一级A，出水水质为《地表水环境质量标准》（GB3838</w:t>
      </w:r>
      <w:r>
        <w:rPr>
          <w:rFonts w:hint="eastAsia" w:eastAsia="仿宋_GB2312" w:cs="Times New Roman"/>
          <w:sz w:val="32"/>
          <w:szCs w:val="32"/>
        </w:rPr>
        <w:t>—</w:t>
      </w:r>
      <w:r>
        <w:rPr>
          <w:rFonts w:eastAsia="仿宋_GB2312" w:cs="Times New Roman"/>
          <w:sz w:val="32"/>
          <w:szCs w:val="32"/>
        </w:rPr>
        <w:t>2002）中V类水体质量标准。安平污水处理厂（一期）项目尾水经生态砾石床深度处理后，出水水质可稳定达到《地表水环境质量标准》（GB3838</w:t>
      </w:r>
      <w:r>
        <w:rPr>
          <w:rFonts w:hint="eastAsia" w:eastAsia="仿宋_GB2312" w:cs="Times New Roman"/>
          <w:sz w:val="32"/>
          <w:szCs w:val="32"/>
        </w:rPr>
        <w:t>—</w:t>
      </w:r>
      <w:r>
        <w:rPr>
          <w:rFonts w:eastAsia="仿宋_GB2312" w:cs="Times New Roman"/>
          <w:sz w:val="32"/>
          <w:szCs w:val="32"/>
        </w:rPr>
        <w:t>2002）中V类水体的要求。</w:t>
      </w:r>
    </w:p>
    <w:p>
      <w:pPr>
        <w:autoSpaceDN w:val="0"/>
        <w:spacing w:line="576" w:lineRule="exact"/>
        <w:ind w:firstLine="640"/>
        <w:rPr>
          <w:rFonts w:eastAsia="仿宋_GB2312" w:cs="Times New Roman"/>
          <w:sz w:val="32"/>
          <w:szCs w:val="32"/>
        </w:rPr>
      </w:pPr>
      <w:r>
        <w:rPr>
          <w:rFonts w:eastAsia="仿宋_GB2312" w:cs="Times New Roman"/>
          <w:sz w:val="32"/>
          <w:szCs w:val="32"/>
        </w:rPr>
        <w:t>2017年，安平污水处理厂（一期）项目实际污水处理量约为1.0万t/d。按污水处理处理厂进水水质为COD120mg/L，氨氮30.0mg/L，总磷4.0mg/L，经污水处理厂生物膜法+生态砾石床两级深度处理后出水水质为COD40mg/L，氨氮2.0mg/L，总磷0.4mg/L，核算项目实现城镇生活源COD削减量292t/y，氨氮削减量7.3t/y，总磷削减量5.84t/y；区域内城镇生活源COD排放量146t/y，氨氮排放量7.3t/y，总磷排放量1.46t/y。</w:t>
      </w:r>
    </w:p>
    <w:p>
      <w:pPr>
        <w:autoSpaceDN w:val="0"/>
        <w:spacing w:after="120" w:afterLines="50" w:line="576" w:lineRule="exact"/>
        <w:ind w:firstLine="640"/>
        <w:rPr>
          <w:rFonts w:eastAsia="仿宋_GB2312" w:cs="Times New Roman"/>
          <w:sz w:val="32"/>
          <w:szCs w:val="32"/>
        </w:rPr>
      </w:pPr>
      <w:r>
        <w:rPr>
          <w:rFonts w:eastAsia="仿宋_GB2312" w:cs="Times New Roman"/>
          <w:sz w:val="32"/>
          <w:szCs w:val="32"/>
        </w:rPr>
        <w:t>香河县规划城市污水管网布置与主要城镇污水处理厂分布如图4</w:t>
      </w:r>
      <w:r>
        <w:rPr>
          <w:rFonts w:hint="eastAsia" w:eastAsia="仿宋_GB2312"/>
          <w:sz w:val="32"/>
          <w:szCs w:val="32"/>
        </w:rPr>
        <w:t>-</w:t>
      </w:r>
      <w:r>
        <w:rPr>
          <w:rFonts w:eastAsia="仿宋_GB2312" w:cs="Times New Roman"/>
          <w:sz w:val="32"/>
          <w:szCs w:val="32"/>
        </w:rPr>
        <w:t>2、图4</w:t>
      </w:r>
      <w:r>
        <w:rPr>
          <w:rFonts w:hint="eastAsia" w:eastAsia="仿宋_GB2312"/>
          <w:sz w:val="32"/>
          <w:szCs w:val="32"/>
        </w:rPr>
        <w:t>-</w:t>
      </w:r>
      <w:r>
        <w:rPr>
          <w:rFonts w:eastAsia="仿宋_GB2312" w:cs="Times New Roman"/>
          <w:sz w:val="32"/>
          <w:szCs w:val="32"/>
        </w:rPr>
        <w:t>3所示。</w:t>
      </w:r>
    </w:p>
    <w:p>
      <w:pPr>
        <w:autoSpaceDN w:val="0"/>
        <w:snapToGrid w:val="0"/>
        <w:spacing w:line="240" w:lineRule="auto"/>
        <w:ind w:firstLine="0" w:firstLineChars="0"/>
        <w:jc w:val="center"/>
        <w:rPr>
          <w:rFonts w:eastAsia="仿宋_GB2312" w:cs="Times New Roman"/>
          <w:sz w:val="28"/>
          <w:szCs w:val="28"/>
        </w:rPr>
      </w:pPr>
      <w:r>
        <w:rPr>
          <w:rFonts w:eastAsia="仿宋_GB2312" w:cs="Times New Roman"/>
          <w:sz w:val="28"/>
          <w:szCs w:val="28"/>
        </w:rPr>
        <w:drawing>
          <wp:inline distT="0" distB="0" distL="114300" distR="114300">
            <wp:extent cx="4608195" cy="3260090"/>
            <wp:effectExtent l="0" t="0" r="1905" b="16510"/>
            <wp:docPr id="43" name="图片 54"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4" descr="image14"/>
                    <pic:cNvPicPr>
                      <a:picLocks noChangeAspect="1"/>
                    </pic:cNvPicPr>
                  </pic:nvPicPr>
                  <pic:blipFill>
                    <a:blip r:embed="rId52"/>
                    <a:stretch>
                      <a:fillRect/>
                    </a:stretch>
                  </pic:blipFill>
                  <pic:spPr>
                    <a:xfrm>
                      <a:off x="0" y="0"/>
                      <a:ext cx="4608195" cy="3260090"/>
                    </a:xfrm>
                    <a:prstGeom prst="rect">
                      <a:avLst/>
                    </a:prstGeom>
                    <a:noFill/>
                    <a:ln w="9525">
                      <a:noFill/>
                    </a:ln>
                  </pic:spPr>
                </pic:pic>
              </a:graphicData>
            </a:graphic>
          </wp:inline>
        </w:drawing>
      </w:r>
    </w:p>
    <w:p>
      <w:pPr>
        <w:autoSpaceDN w:val="0"/>
        <w:snapToGrid w:val="0"/>
        <w:spacing w:before="192" w:beforeLines="80" w:after="480" w:afterLines="200" w:line="240" w:lineRule="auto"/>
        <w:ind w:firstLine="0" w:firstLineChars="0"/>
        <w:jc w:val="center"/>
        <w:rPr>
          <w:rFonts w:hint="eastAsia" w:eastAsia="仿宋_GB2312" w:cs="Times New Roman"/>
          <w:b/>
          <w:bCs/>
          <w:szCs w:val="28"/>
        </w:rPr>
      </w:pPr>
      <w:r>
        <w:rPr>
          <w:rFonts w:eastAsia="仿宋_GB2312" w:cs="Times New Roman"/>
          <w:b/>
          <w:bCs/>
          <w:szCs w:val="28"/>
        </w:rPr>
        <w:t>图4</w:t>
      </w:r>
      <w:r>
        <w:rPr>
          <w:rFonts w:hint="eastAsia" w:eastAsia="仿宋_GB2312"/>
          <w:szCs w:val="24"/>
        </w:rPr>
        <w:t>-</w:t>
      </w:r>
      <w:r>
        <w:rPr>
          <w:rFonts w:eastAsia="仿宋_GB2312" w:cs="Times New Roman"/>
          <w:b/>
          <w:bCs/>
          <w:szCs w:val="28"/>
        </w:rPr>
        <w:t>2　香河县城管网规划图</w:t>
      </w:r>
    </w:p>
    <w:p>
      <w:pPr>
        <w:autoSpaceDN w:val="0"/>
        <w:snapToGrid w:val="0"/>
        <w:spacing w:line="240" w:lineRule="auto"/>
        <w:ind w:firstLine="0" w:firstLineChars="0"/>
        <w:jc w:val="center"/>
        <w:rPr>
          <w:rFonts w:eastAsia="仿宋_GB2312" w:cs="Times New Roman"/>
          <w:sz w:val="28"/>
          <w:szCs w:val="28"/>
        </w:rPr>
      </w:pPr>
      <w:r>
        <w:rPr>
          <w:rFonts w:eastAsia="仿宋_GB2312" w:cs="Times New Roman"/>
          <w:sz w:val="28"/>
          <w:szCs w:val="28"/>
        </w:rPr>
        <w:drawing>
          <wp:inline distT="0" distB="0" distL="114300" distR="114300">
            <wp:extent cx="4760595" cy="3418840"/>
            <wp:effectExtent l="0" t="0" r="1905" b="10160"/>
            <wp:docPr id="44" name="图片 55"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5" descr="image15"/>
                    <pic:cNvPicPr>
                      <a:picLocks noChangeAspect="1"/>
                    </pic:cNvPicPr>
                  </pic:nvPicPr>
                  <pic:blipFill>
                    <a:blip r:embed="rId53"/>
                    <a:stretch>
                      <a:fillRect/>
                    </a:stretch>
                  </pic:blipFill>
                  <pic:spPr>
                    <a:xfrm>
                      <a:off x="0" y="0"/>
                      <a:ext cx="4760595" cy="3418840"/>
                    </a:xfrm>
                    <a:prstGeom prst="rect">
                      <a:avLst/>
                    </a:prstGeom>
                    <a:noFill/>
                    <a:ln w="9525">
                      <a:noFill/>
                    </a:ln>
                  </pic:spPr>
                </pic:pic>
              </a:graphicData>
            </a:graphic>
          </wp:inline>
        </w:drawing>
      </w:r>
    </w:p>
    <w:p>
      <w:pPr>
        <w:autoSpaceDN w:val="0"/>
        <w:snapToGrid w:val="0"/>
        <w:spacing w:before="192" w:beforeLines="80" w:line="240" w:lineRule="auto"/>
        <w:ind w:firstLine="0" w:firstLineChars="0"/>
        <w:jc w:val="center"/>
        <w:rPr>
          <w:rFonts w:eastAsia="仿宋_GB2312" w:cs="Times New Roman"/>
          <w:b/>
          <w:bCs/>
          <w:szCs w:val="28"/>
        </w:rPr>
      </w:pPr>
      <w:r>
        <w:rPr>
          <w:rFonts w:eastAsia="仿宋_GB2312" w:cs="Times New Roman"/>
          <w:b/>
          <w:bCs/>
          <w:szCs w:val="28"/>
        </w:rPr>
        <w:t>图4</w:t>
      </w:r>
      <w:r>
        <w:rPr>
          <w:rFonts w:hint="eastAsia" w:eastAsia="仿宋_GB2312"/>
          <w:szCs w:val="24"/>
        </w:rPr>
        <w:t>-</w:t>
      </w:r>
      <w:r>
        <w:rPr>
          <w:rFonts w:eastAsia="仿宋_GB2312" w:cs="Times New Roman"/>
          <w:b/>
          <w:bCs/>
          <w:szCs w:val="28"/>
        </w:rPr>
        <w:t>3　香河县污水处理厂规划图</w:t>
      </w:r>
    </w:p>
    <w:p>
      <w:pPr>
        <w:pStyle w:val="4"/>
        <w:autoSpaceDN w:val="0"/>
        <w:snapToGrid w:val="0"/>
        <w:spacing w:line="590" w:lineRule="exact"/>
        <w:ind w:firstLine="643"/>
      </w:pPr>
      <w:bookmarkStart w:id="414" w:name="_Toc21720685"/>
      <w:r>
        <w:br w:type="page"/>
      </w:r>
      <w:r>
        <w:t>4.1.2工业源</w:t>
      </w:r>
      <w:bookmarkEnd w:id="414"/>
    </w:p>
    <w:p>
      <w:pPr>
        <w:autoSpaceDN w:val="0"/>
        <w:spacing w:line="590" w:lineRule="exact"/>
        <w:ind w:firstLine="640"/>
        <w:rPr>
          <w:rFonts w:eastAsia="仿宋_GB2312" w:cs="Times New Roman"/>
          <w:sz w:val="32"/>
          <w:szCs w:val="32"/>
        </w:rPr>
      </w:pPr>
      <w:r>
        <w:rPr>
          <w:rFonts w:eastAsia="仿宋_GB2312" w:cs="Times New Roman"/>
          <w:sz w:val="32"/>
          <w:szCs w:val="32"/>
        </w:rPr>
        <w:t>现状北运河廊坊市控制单元内无涉水工业企业，无工业源COD、氨氮和总磷负荷排放量。</w:t>
      </w:r>
    </w:p>
    <w:p>
      <w:pPr>
        <w:pStyle w:val="4"/>
        <w:autoSpaceDN w:val="0"/>
        <w:snapToGrid w:val="0"/>
        <w:spacing w:line="590" w:lineRule="exact"/>
        <w:ind w:firstLine="643"/>
      </w:pPr>
      <w:bookmarkStart w:id="415" w:name="_Toc21720686"/>
      <w:r>
        <w:t>4.1.3规模化畜禽养殖源</w:t>
      </w:r>
      <w:bookmarkEnd w:id="415"/>
    </w:p>
    <w:p>
      <w:pPr>
        <w:autoSpaceDN w:val="0"/>
        <w:spacing w:line="590" w:lineRule="exact"/>
        <w:ind w:firstLine="640"/>
        <w:rPr>
          <w:rFonts w:eastAsia="仿宋_GB2312" w:cs="Times New Roman"/>
          <w:sz w:val="32"/>
          <w:szCs w:val="32"/>
        </w:rPr>
      </w:pPr>
      <w:r>
        <w:rPr>
          <w:rFonts w:eastAsia="仿宋_GB2312" w:cs="Times New Roman"/>
          <w:sz w:val="32"/>
          <w:szCs w:val="32"/>
        </w:rPr>
        <w:t>现状北运河廊坊市控制单元内已无规模化畜禽养殖场（小区）或养殖专业户，无规模化畜禽养殖源COD、氨氮和总磷负荷排放量。</w:t>
      </w:r>
    </w:p>
    <w:p>
      <w:pPr>
        <w:pStyle w:val="3"/>
        <w:autoSpaceDN w:val="0"/>
        <w:snapToGrid w:val="0"/>
        <w:spacing w:line="590" w:lineRule="exact"/>
        <w:ind w:firstLine="643"/>
        <w:rPr>
          <w:rFonts w:eastAsia="楷体_GB2312"/>
          <w:bCs w:val="0"/>
        </w:rPr>
      </w:pPr>
      <w:bookmarkStart w:id="416" w:name="_Toc460245354"/>
      <w:bookmarkStart w:id="417" w:name="_Toc21720687"/>
      <w:r>
        <w:rPr>
          <w:rFonts w:eastAsia="楷体_GB2312"/>
          <w:bCs w:val="0"/>
        </w:rPr>
        <w:t>4.2面源</w:t>
      </w:r>
      <w:bookmarkEnd w:id="416"/>
      <w:r>
        <w:rPr>
          <w:rFonts w:eastAsia="楷体_GB2312"/>
          <w:bCs w:val="0"/>
        </w:rPr>
        <w:t>污染</w:t>
      </w:r>
      <w:bookmarkEnd w:id="417"/>
    </w:p>
    <w:p>
      <w:pPr>
        <w:pStyle w:val="4"/>
        <w:autoSpaceDN w:val="0"/>
        <w:snapToGrid w:val="0"/>
        <w:spacing w:line="590" w:lineRule="exact"/>
        <w:ind w:firstLine="643"/>
      </w:pPr>
      <w:bookmarkStart w:id="418" w:name="_Toc21720688"/>
      <w:r>
        <w:t>4.2.1城镇面源</w:t>
      </w:r>
      <w:bookmarkEnd w:id="418"/>
    </w:p>
    <w:p>
      <w:pPr>
        <w:autoSpaceDN w:val="0"/>
        <w:snapToGrid w:val="0"/>
        <w:spacing w:line="590" w:lineRule="exact"/>
        <w:ind w:firstLine="640"/>
        <w:rPr>
          <w:rFonts w:eastAsia="仿宋_GB2312" w:cs="Times New Roman"/>
          <w:sz w:val="32"/>
          <w:szCs w:val="32"/>
        </w:rPr>
      </w:pPr>
      <w:r>
        <w:rPr>
          <w:rFonts w:eastAsia="仿宋_GB2312" w:cs="Times New Roman"/>
          <w:sz w:val="32"/>
          <w:szCs w:val="32"/>
        </w:rPr>
        <w:t>初期雨水是城镇化地区的重要污染源，主要由雨水快排模式产生。目前，北运河廊坊市控制单元尚未采用初期雨水控制措施，需考虑城市面源负荷流失量。</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现状区域内城镇化面积约11km</w:t>
      </w:r>
      <w:r>
        <w:rPr>
          <w:rFonts w:eastAsia="仿宋_GB2312" w:cs="Times New Roman"/>
          <w:sz w:val="32"/>
          <w:szCs w:val="32"/>
          <w:vertAlign w:val="superscript"/>
        </w:rPr>
        <w:t>2</w:t>
      </w:r>
      <w:r>
        <w:rPr>
          <w:rFonts w:eastAsia="仿宋_GB2312" w:cs="Times New Roman"/>
          <w:sz w:val="32"/>
          <w:szCs w:val="32"/>
        </w:rPr>
        <w:t>，年均降雨量为550mm，雨量集中在雨季6</w:t>
      </w:r>
      <w:r>
        <w:rPr>
          <w:rFonts w:hint="eastAsia" w:eastAsia="仿宋_GB2312" w:cs="Times New Roman"/>
          <w:sz w:val="32"/>
          <w:szCs w:val="32"/>
        </w:rPr>
        <w:t>—</w:t>
      </w:r>
      <w:r>
        <w:rPr>
          <w:rFonts w:eastAsia="仿宋_GB2312" w:cs="Times New Roman"/>
          <w:sz w:val="32"/>
          <w:szCs w:val="32"/>
        </w:rPr>
        <w:t>8月，按初期雨水量年总降雨量20%，初期雨水中主要污染物浓度为COD100mg/L、NH</w:t>
      </w:r>
      <w:r>
        <w:rPr>
          <w:rFonts w:eastAsia="仿宋_GB2312" w:cs="Times New Roman"/>
          <w:sz w:val="32"/>
          <w:szCs w:val="32"/>
          <w:vertAlign w:val="subscript"/>
        </w:rPr>
        <w:t>3</w:t>
      </w:r>
      <w:r>
        <w:rPr>
          <w:rFonts w:hint="eastAsia" w:eastAsia="仿宋_GB2312" w:cs="Times New Roman"/>
          <w:sz w:val="32"/>
          <w:szCs w:val="32"/>
        </w:rPr>
        <w:t>—</w:t>
      </w:r>
      <w:r>
        <w:rPr>
          <w:rFonts w:eastAsia="仿宋_GB2312" w:cs="Times New Roman"/>
          <w:sz w:val="32"/>
          <w:szCs w:val="32"/>
        </w:rPr>
        <w:t>N15mg/L、TP2mg/L考虑，核算区内城市面源负荷流失量为COD121t/y、NH</w:t>
      </w:r>
      <w:r>
        <w:rPr>
          <w:rFonts w:eastAsia="仿宋_GB2312" w:cs="Times New Roman"/>
          <w:sz w:val="32"/>
          <w:szCs w:val="32"/>
          <w:vertAlign w:val="subscript"/>
        </w:rPr>
        <w:t>3</w:t>
      </w:r>
      <w:r>
        <w:rPr>
          <w:rFonts w:hint="eastAsia" w:eastAsia="仿宋_GB2312" w:cs="Times New Roman"/>
          <w:sz w:val="32"/>
          <w:szCs w:val="32"/>
        </w:rPr>
        <w:t>—</w:t>
      </w:r>
      <w:r>
        <w:rPr>
          <w:rFonts w:eastAsia="仿宋_GB2312" w:cs="Times New Roman"/>
          <w:sz w:val="32"/>
          <w:szCs w:val="32"/>
        </w:rPr>
        <w:t>N18.15t/y、TP2.42t/y。</w:t>
      </w:r>
    </w:p>
    <w:p>
      <w:pPr>
        <w:pStyle w:val="4"/>
        <w:autoSpaceDN w:val="0"/>
        <w:snapToGrid w:val="0"/>
        <w:spacing w:line="590" w:lineRule="exact"/>
        <w:ind w:firstLine="643"/>
      </w:pPr>
      <w:bookmarkStart w:id="419" w:name="_Toc21720689"/>
      <w:bookmarkStart w:id="420" w:name="_Toc460245358"/>
      <w:r>
        <w:t>4.2.2种植业面源</w:t>
      </w:r>
      <w:bookmarkEnd w:id="419"/>
      <w:bookmarkEnd w:id="420"/>
    </w:p>
    <w:p>
      <w:pPr>
        <w:autoSpaceDN w:val="0"/>
        <w:snapToGrid w:val="0"/>
        <w:spacing w:after="240" w:afterLines="100" w:line="590" w:lineRule="exact"/>
        <w:ind w:firstLine="640"/>
        <w:rPr>
          <w:rFonts w:eastAsia="仿宋_GB2312" w:cs="Times New Roman"/>
          <w:sz w:val="32"/>
          <w:szCs w:val="32"/>
        </w:rPr>
      </w:pPr>
      <w:r>
        <w:rPr>
          <w:rFonts w:eastAsia="仿宋_GB2312" w:cs="Times New Roman"/>
          <w:sz w:val="32"/>
          <w:szCs w:val="32"/>
        </w:rPr>
        <w:t>结合北运河廊坊市控制单元内地形地貌和水文汇流关系特征，将区域划分为堤内及堤外部分两类。堤内部分是指位于北运河河堤以内，降雨形成的径流可直接排入北运河区域（包括农村和城镇建成区）；堤外部分是指位于北运河堤外，受制于堤坝高度高于堤外标高等原因，降雨径流主要排入堤外洼地，在洼地内自然下渗、降解和蒸发，仅在暴雨季才可能进入北运河干支流河道以内的区域（包括农村和城镇建成区）。</w:t>
      </w:r>
    </w:p>
    <w:p>
      <w:pPr>
        <w:autoSpaceDN w:val="0"/>
        <w:ind w:firstLine="0" w:firstLineChars="0"/>
        <w:jc w:val="center"/>
        <w:rPr>
          <w:rFonts w:eastAsia="仿宋_GB2312" w:cs="Times New Roman"/>
          <w:sz w:val="28"/>
          <w:szCs w:val="24"/>
        </w:rPr>
      </w:pPr>
      <w:r>
        <w:rPr>
          <w:rFonts w:eastAsia="仿宋_GB2312" w:cs="Times New Roman"/>
        </w:rPr>
        <w:drawing>
          <wp:inline distT="0" distB="0" distL="114300" distR="114300">
            <wp:extent cx="3357245" cy="3885565"/>
            <wp:effectExtent l="0" t="0" r="14605" b="635"/>
            <wp:docPr id="45" name="图片 56"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6" descr="image19"/>
                    <pic:cNvPicPr>
                      <a:picLocks noChangeAspect="1"/>
                    </pic:cNvPicPr>
                  </pic:nvPicPr>
                  <pic:blipFill>
                    <a:blip r:embed="rId54"/>
                    <a:stretch>
                      <a:fillRect/>
                    </a:stretch>
                  </pic:blipFill>
                  <pic:spPr>
                    <a:xfrm>
                      <a:off x="0" y="0"/>
                      <a:ext cx="3357245" cy="3885565"/>
                    </a:xfrm>
                    <a:prstGeom prst="rect">
                      <a:avLst/>
                    </a:prstGeom>
                    <a:noFill/>
                    <a:ln w="9525">
                      <a:noFill/>
                    </a:ln>
                  </pic:spPr>
                </pic:pic>
              </a:graphicData>
            </a:graphic>
          </wp:inline>
        </w:drawing>
      </w:r>
    </w:p>
    <w:p>
      <w:pPr>
        <w:autoSpaceDN w:val="0"/>
        <w:spacing w:before="72" w:beforeLines="30" w:after="240" w:afterLines="100" w:line="240" w:lineRule="auto"/>
        <w:ind w:firstLine="0" w:firstLineChars="0"/>
        <w:jc w:val="center"/>
        <w:rPr>
          <w:rFonts w:eastAsia="仿宋_GB2312" w:cs="Times New Roman"/>
          <w:b/>
          <w:bCs/>
          <w:szCs w:val="28"/>
        </w:rPr>
      </w:pPr>
      <w:r>
        <w:rPr>
          <w:rFonts w:eastAsia="仿宋_GB2312" w:cs="Times New Roman"/>
          <w:b/>
          <w:bCs/>
          <w:szCs w:val="28"/>
        </w:rPr>
        <w:t>图4</w:t>
      </w:r>
      <w:r>
        <w:rPr>
          <w:rFonts w:hint="eastAsia" w:eastAsia="仿宋_GB2312"/>
          <w:szCs w:val="24"/>
        </w:rPr>
        <w:t>-</w:t>
      </w:r>
      <w:r>
        <w:rPr>
          <w:rFonts w:eastAsia="仿宋_GB2312" w:cs="Times New Roman"/>
          <w:b/>
          <w:bCs/>
          <w:szCs w:val="28"/>
        </w:rPr>
        <w:t>4 北运河香河段堤防与周边村落关系图</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根据北运河周边污染源调查结果，现状北运河堤内有谭庄村、曹店村、高庄村、孙家务村、鲁家务村、陈辛庄村等6个行政村，共有耕地面积8650亩。</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采用“流失系数法”计算种植业面源负荷流失量，计算公式为：</w:t>
      </w:r>
    </w:p>
    <w:p>
      <w:pPr>
        <w:autoSpaceDN w:val="0"/>
        <w:snapToGrid w:val="0"/>
        <w:spacing w:line="590" w:lineRule="exact"/>
        <w:ind w:firstLine="640"/>
        <w:jc w:val="center"/>
        <w:rPr>
          <w:rFonts w:eastAsia="仿宋_GB2312" w:cs="Times New Roman"/>
          <w:sz w:val="32"/>
          <w:szCs w:val="32"/>
        </w:rPr>
      </w:pPr>
      <w:r>
        <w:rPr>
          <w:rFonts w:eastAsia="仿宋_GB2312" w:cs="Times New Roman"/>
          <w:sz w:val="32"/>
          <w:szCs w:val="32"/>
        </w:rPr>
        <w:t>M=μ×S×m</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其中，M为种植面源污染量，μ为溶出系数，S为土地面积，m为每亩施用N、P净用量。</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根据当地农业局提供的农业化肥施用强度数据，区内氮肥、磷肥施用量分别为23kg/</w:t>
      </w:r>
      <w:r>
        <w:rPr>
          <w:rFonts w:ascii="仿宋_GB2312" w:eastAsia="仿宋_GB2312" w:cs="Times New Roman"/>
          <w:sz w:val="32"/>
          <w:szCs w:val="32"/>
        </w:rPr>
        <w:t>亩</w:t>
      </w:r>
      <w:r>
        <w:rPr>
          <w:rFonts w:eastAsia="仿宋_GB2312" w:cs="Times New Roman"/>
          <w:sz w:val="32"/>
          <w:szCs w:val="32"/>
        </w:rPr>
        <w:t>·年、10kg/亩·年，折纯量分别为10.7kg/亩·年、2.3kg/亩·年。参照相关文献，总磷溶出系数、总氮溶出系数约为20%（氨氮为总氮量的10%），则估算北运河堤内农业种植化肥流失量分别是NH</w:t>
      </w:r>
      <w:r>
        <w:rPr>
          <w:rFonts w:eastAsia="仿宋_GB2312" w:cs="Times New Roman"/>
          <w:sz w:val="32"/>
          <w:szCs w:val="32"/>
          <w:vertAlign w:val="subscript"/>
        </w:rPr>
        <w:t>3</w:t>
      </w:r>
      <w:r>
        <w:rPr>
          <w:rFonts w:hint="eastAsia" w:eastAsia="仿宋_GB2312" w:cs="Times New Roman"/>
          <w:sz w:val="32"/>
          <w:szCs w:val="32"/>
        </w:rPr>
        <w:t>—</w:t>
      </w:r>
      <w:r>
        <w:rPr>
          <w:rFonts w:eastAsia="仿宋_GB2312" w:cs="Times New Roman"/>
          <w:sz w:val="32"/>
          <w:szCs w:val="32"/>
        </w:rPr>
        <w:t>N为1.85t/y，TP为3.98t/y。</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进一步考虑耕地水土流失的氮、磷流失量，按河北省平均耕地水土流失强度400t/公顷·年，流失物总氮含量为0.074%（氨氮占总氮比例为10%）、总磷量为0.04%，则估算北运河堤内耕地土壤流失年NH</w:t>
      </w:r>
      <w:r>
        <w:rPr>
          <w:rFonts w:eastAsia="仿宋_GB2312" w:cs="Times New Roman"/>
          <w:sz w:val="32"/>
          <w:szCs w:val="32"/>
          <w:vertAlign w:val="subscript"/>
        </w:rPr>
        <w:t>3</w:t>
      </w:r>
      <w:r>
        <w:rPr>
          <w:rFonts w:hint="eastAsia" w:eastAsia="仿宋_GB2312" w:cs="Times New Roman"/>
          <w:sz w:val="32"/>
          <w:szCs w:val="32"/>
        </w:rPr>
        <w:t>—</w:t>
      </w:r>
      <w:r>
        <w:rPr>
          <w:rFonts w:eastAsia="仿宋_GB2312" w:cs="Times New Roman"/>
          <w:sz w:val="32"/>
          <w:szCs w:val="32"/>
        </w:rPr>
        <w:t>N为0.153t/y，TP为0.184t/y。</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以上合计，北运河堤内农业种植面源负荷总流失量为NH</w:t>
      </w:r>
      <w:r>
        <w:rPr>
          <w:rFonts w:eastAsia="仿宋_GB2312" w:cs="Times New Roman"/>
          <w:sz w:val="32"/>
          <w:szCs w:val="32"/>
          <w:vertAlign w:val="subscript"/>
        </w:rPr>
        <w:t>3</w:t>
      </w:r>
      <w:r>
        <w:rPr>
          <w:rFonts w:hint="eastAsia" w:eastAsia="仿宋_GB2312" w:cs="Times New Roman"/>
          <w:sz w:val="32"/>
          <w:szCs w:val="32"/>
        </w:rPr>
        <w:t>—</w:t>
      </w:r>
      <w:r>
        <w:rPr>
          <w:rFonts w:eastAsia="仿宋_GB2312" w:cs="Times New Roman"/>
          <w:sz w:val="32"/>
          <w:szCs w:val="32"/>
        </w:rPr>
        <w:t>N2.00t/y，TP为4.16t/y。</w:t>
      </w:r>
    </w:p>
    <w:p>
      <w:pPr>
        <w:pStyle w:val="4"/>
        <w:autoSpaceDN w:val="0"/>
        <w:snapToGrid w:val="0"/>
        <w:spacing w:line="590" w:lineRule="exact"/>
        <w:ind w:firstLine="643"/>
      </w:pPr>
      <w:bookmarkStart w:id="421" w:name="_Toc21720690"/>
      <w:bookmarkStart w:id="422" w:name="_Toc460245359"/>
      <w:r>
        <w:t>4.2.3农村生活源</w:t>
      </w:r>
      <w:bookmarkEnd w:id="421"/>
      <w:bookmarkEnd w:id="422"/>
    </w:p>
    <w:p>
      <w:pPr>
        <w:autoSpaceDN w:val="0"/>
        <w:snapToGrid w:val="0"/>
        <w:spacing w:line="590" w:lineRule="exact"/>
        <w:ind w:firstLine="640"/>
        <w:rPr>
          <w:rFonts w:eastAsia="仿宋_GB2312" w:cs="Times New Roman"/>
          <w:sz w:val="32"/>
          <w:szCs w:val="32"/>
        </w:rPr>
      </w:pPr>
      <w:r>
        <w:rPr>
          <w:rFonts w:eastAsia="仿宋_GB2312" w:cs="Times New Roman"/>
          <w:sz w:val="32"/>
          <w:szCs w:val="32"/>
        </w:rPr>
        <w:t>结合北运河廊坊市控制单元内地形地貌和水文汇流关系特征，将北运河周边农村分为堤内村、堤外村两类。其中，堤内村是指村庄位于北运河河堤以内，污水产生后汇入村周洼地或直接排入北运河的村庄；堤外村是村庄位于北运河堤外，污水排入村周洼地内，在洼地内自然下渗、降解和蒸发，仅在极端暴雨条件下才可能进入北运河河道并造成污染的村庄。本方案将堤外村污染不纳入北运河污染源分析中，但纳入本次北运河水质保障建设项目清单之内。</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根据北运河周边污染源调查结果，北运河大堤内有谭庄村、曹店村、高庄村、孙家务村、鲁家务村、陈辛庄村等6个行政村。其中，高庄村、鲁家务村已建成分散式农村生活污水治理设施，其余村庄尚未建成农村生活污水治理设施，存在农村生活污水直排污染北运河水质的环境风险。</w:t>
      </w:r>
    </w:p>
    <w:p>
      <w:pPr>
        <w:autoSpaceDN w:val="0"/>
        <w:spacing w:line="590" w:lineRule="exact"/>
        <w:ind w:firstLine="640"/>
        <w:rPr>
          <w:rFonts w:eastAsia="仿宋_GB2312" w:cs="Times New Roman"/>
          <w:sz w:val="32"/>
          <w:szCs w:val="32"/>
        </w:rPr>
      </w:pPr>
      <w:r>
        <w:rPr>
          <w:rFonts w:eastAsia="仿宋_GB2312" w:cs="Times New Roman"/>
          <w:sz w:val="32"/>
          <w:szCs w:val="32"/>
        </w:rPr>
        <w:t>采用“产排污系数法”计算北运河大堤内农村生活源负荷流失量。参照《华北地区农村生活污水处理技术指南（试行</w:t>
      </w:r>
      <w:r>
        <w:rPr>
          <w:rFonts w:hint="eastAsia" w:eastAsia="仿宋_GB2312" w:cs="Times New Roman"/>
          <w:sz w:val="32"/>
          <w:szCs w:val="32"/>
        </w:rPr>
        <w:t>）</w:t>
      </w:r>
      <w:r>
        <w:rPr>
          <w:rFonts w:eastAsia="仿宋_GB2312" w:cs="Times New Roman"/>
          <w:sz w:val="32"/>
          <w:szCs w:val="32"/>
        </w:rPr>
        <w:t>》，农村居民用水量取值为140L/人·天，农村生活污水主要污染物平均浓度为COD240mg/L，NH</w:t>
      </w:r>
      <w:r>
        <w:rPr>
          <w:rFonts w:eastAsia="仿宋_GB2312" w:cs="Times New Roman"/>
          <w:sz w:val="32"/>
          <w:szCs w:val="32"/>
          <w:vertAlign w:val="subscript"/>
        </w:rPr>
        <w:t>3</w:t>
      </w:r>
      <w:r>
        <w:rPr>
          <w:rFonts w:hint="eastAsia" w:eastAsia="仿宋_GB2312" w:cs="Times New Roman"/>
          <w:sz w:val="32"/>
          <w:szCs w:val="32"/>
        </w:rPr>
        <w:t>—</w:t>
      </w:r>
      <w:r>
        <w:rPr>
          <w:rFonts w:eastAsia="仿宋_GB2312" w:cs="Times New Roman"/>
          <w:sz w:val="32"/>
          <w:szCs w:val="32"/>
        </w:rPr>
        <w:t>N30mg/L，TP4mg/L（散养畜禽养殖污染纳入农业生活源计算，综合系数取1.2），估算堤内农村居民生活污水排放量为19万m</w:t>
      </w:r>
      <w:r>
        <w:rPr>
          <w:rFonts w:eastAsia="仿宋_GB2312" w:cs="Times New Roman"/>
          <w:sz w:val="32"/>
          <w:szCs w:val="32"/>
          <w:vertAlign w:val="superscript"/>
        </w:rPr>
        <w:t>3</w:t>
      </w:r>
      <w:r>
        <w:rPr>
          <w:rFonts w:eastAsia="仿宋_GB2312" w:cs="Times New Roman"/>
          <w:sz w:val="32"/>
          <w:szCs w:val="32"/>
        </w:rPr>
        <w:t>/y，农村生活污染负荷排放量为COD67.5t/y、NH</w:t>
      </w:r>
      <w:r>
        <w:rPr>
          <w:rFonts w:eastAsia="仿宋_GB2312" w:cs="Times New Roman"/>
          <w:sz w:val="32"/>
          <w:szCs w:val="32"/>
          <w:vertAlign w:val="subscript"/>
        </w:rPr>
        <w:t>3</w:t>
      </w:r>
      <w:r>
        <w:rPr>
          <w:rFonts w:hint="eastAsia" w:eastAsia="仿宋_GB2312" w:cs="Times New Roman"/>
          <w:sz w:val="32"/>
          <w:szCs w:val="32"/>
        </w:rPr>
        <w:t>—</w:t>
      </w:r>
      <w:r>
        <w:rPr>
          <w:rFonts w:eastAsia="仿宋_GB2312" w:cs="Times New Roman"/>
          <w:sz w:val="32"/>
          <w:szCs w:val="32"/>
        </w:rPr>
        <w:t>N6.8t/y、TP0.9t/y。</w:t>
      </w:r>
    </w:p>
    <w:p>
      <w:pPr>
        <w:pStyle w:val="3"/>
        <w:autoSpaceDN w:val="0"/>
        <w:snapToGrid w:val="0"/>
        <w:spacing w:line="590" w:lineRule="exact"/>
        <w:ind w:firstLine="643"/>
        <w:rPr>
          <w:rFonts w:eastAsia="楷体_GB2312"/>
          <w:bCs w:val="0"/>
        </w:rPr>
      </w:pPr>
      <w:bookmarkStart w:id="423" w:name="_Toc460245360"/>
      <w:bookmarkStart w:id="424" w:name="_Toc21720691"/>
      <w:r>
        <w:rPr>
          <w:rFonts w:eastAsia="楷体_GB2312"/>
          <w:bCs w:val="0"/>
        </w:rPr>
        <w:t>4.3污染源汇总</w:t>
      </w:r>
      <w:bookmarkEnd w:id="423"/>
      <w:r>
        <w:rPr>
          <w:rFonts w:eastAsia="楷体_GB2312"/>
          <w:bCs w:val="0"/>
        </w:rPr>
        <w:t>分析</w:t>
      </w:r>
      <w:bookmarkEnd w:id="424"/>
    </w:p>
    <w:p>
      <w:pPr>
        <w:autoSpaceDN w:val="0"/>
        <w:snapToGrid w:val="0"/>
        <w:spacing w:line="590" w:lineRule="exact"/>
        <w:ind w:firstLine="640"/>
        <w:rPr>
          <w:rFonts w:eastAsia="仿宋_GB2312" w:cs="Times New Roman"/>
          <w:sz w:val="32"/>
          <w:szCs w:val="32"/>
        </w:rPr>
      </w:pPr>
      <w:r>
        <w:rPr>
          <w:rFonts w:eastAsia="仿宋_GB2312" w:cs="Times New Roman"/>
          <w:sz w:val="32"/>
          <w:szCs w:val="32"/>
        </w:rPr>
        <w:t>现状年北运河廊坊市控制单元入北运河各类点源、非点源污染负荷排放情况汇总如表所示：</w:t>
      </w:r>
    </w:p>
    <w:p>
      <w:pPr>
        <w:autoSpaceDN w:val="0"/>
        <w:spacing w:before="240" w:beforeLines="100" w:after="120" w:afterLines="50" w:line="240" w:lineRule="auto"/>
        <w:ind w:firstLine="640"/>
        <w:jc w:val="center"/>
        <w:rPr>
          <w:rFonts w:ascii="黑体" w:hAnsi="黑体" w:eastAsia="黑体" w:cs="Times New Roman"/>
          <w:bCs/>
          <w:sz w:val="32"/>
          <w:szCs w:val="32"/>
        </w:rPr>
      </w:pPr>
      <w:r>
        <w:rPr>
          <w:rFonts w:ascii="黑体" w:hAnsi="黑体" w:eastAsia="黑体" w:cs="Times New Roman"/>
          <w:bCs/>
          <w:sz w:val="32"/>
          <w:szCs w:val="32"/>
        </w:rPr>
        <w:t>表</w:t>
      </w:r>
      <w:r>
        <w:rPr>
          <w:rFonts w:eastAsia="黑体" w:cs="Times New Roman"/>
          <w:bCs/>
          <w:sz w:val="32"/>
          <w:szCs w:val="32"/>
        </w:rPr>
        <w:t xml:space="preserve">4-1 </w:t>
      </w:r>
      <w:r>
        <w:rPr>
          <w:rFonts w:ascii="黑体" w:hAnsi="黑体" w:eastAsia="黑体" w:cs="Times New Roman"/>
          <w:bCs/>
          <w:sz w:val="32"/>
          <w:szCs w:val="32"/>
        </w:rPr>
        <w:t>方案实施范围内水环境污染排放量</w:t>
      </w:r>
    </w:p>
    <w:tbl>
      <w:tblPr>
        <w:tblStyle w:val="9"/>
        <w:tblW w:w="878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1146"/>
        <w:gridCol w:w="2620"/>
        <w:gridCol w:w="1747"/>
        <w:gridCol w:w="1969"/>
        <w:gridCol w:w="1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516" w:hRule="atLeast"/>
          <w:jc w:val="center"/>
        </w:trPr>
        <w:tc>
          <w:tcPr>
            <w:tcW w:w="1146" w:type="dxa"/>
            <w:vAlign w:val="center"/>
          </w:tcPr>
          <w:p>
            <w:pPr>
              <w:autoSpaceDN w:val="0"/>
              <w:snapToGrid w:val="0"/>
              <w:spacing w:line="240" w:lineRule="auto"/>
              <w:ind w:firstLine="0" w:firstLineChars="0"/>
              <w:jc w:val="center"/>
              <w:rPr>
                <w:rFonts w:eastAsia="仿宋_GB2312" w:cs="Times New Roman"/>
                <w:b/>
                <w:szCs w:val="21"/>
              </w:rPr>
            </w:pPr>
            <w:r>
              <w:rPr>
                <w:rFonts w:eastAsia="仿宋_GB2312" w:cs="Times New Roman"/>
                <w:b/>
                <w:szCs w:val="21"/>
              </w:rPr>
              <w:t>类型</w:t>
            </w:r>
          </w:p>
        </w:tc>
        <w:tc>
          <w:tcPr>
            <w:tcW w:w="2620" w:type="dxa"/>
            <w:vAlign w:val="center"/>
          </w:tcPr>
          <w:p>
            <w:pPr>
              <w:autoSpaceDN w:val="0"/>
              <w:snapToGrid w:val="0"/>
              <w:spacing w:line="240" w:lineRule="auto"/>
              <w:ind w:firstLine="0" w:firstLineChars="0"/>
              <w:jc w:val="center"/>
              <w:rPr>
                <w:rFonts w:eastAsia="仿宋_GB2312" w:cs="Times New Roman"/>
                <w:b/>
                <w:szCs w:val="21"/>
              </w:rPr>
            </w:pPr>
            <w:r>
              <w:rPr>
                <w:rFonts w:eastAsia="仿宋_GB2312" w:cs="Times New Roman"/>
                <w:b/>
                <w:szCs w:val="21"/>
              </w:rPr>
              <w:t>污染源类型</w:t>
            </w:r>
          </w:p>
        </w:tc>
        <w:tc>
          <w:tcPr>
            <w:tcW w:w="1747" w:type="dxa"/>
            <w:vAlign w:val="center"/>
          </w:tcPr>
          <w:p>
            <w:pPr>
              <w:autoSpaceDN w:val="0"/>
              <w:snapToGrid w:val="0"/>
              <w:spacing w:line="240" w:lineRule="auto"/>
              <w:ind w:firstLine="0" w:firstLineChars="0"/>
              <w:jc w:val="center"/>
              <w:rPr>
                <w:rFonts w:eastAsia="仿宋_GB2312" w:cs="Times New Roman"/>
                <w:b/>
                <w:szCs w:val="21"/>
              </w:rPr>
            </w:pPr>
            <w:r>
              <w:rPr>
                <w:rFonts w:eastAsia="仿宋_GB2312" w:cs="Times New Roman"/>
                <w:b/>
                <w:szCs w:val="21"/>
              </w:rPr>
              <w:t>COD（t/y）</w:t>
            </w:r>
          </w:p>
        </w:tc>
        <w:tc>
          <w:tcPr>
            <w:tcW w:w="1969" w:type="dxa"/>
            <w:vAlign w:val="center"/>
          </w:tcPr>
          <w:p>
            <w:pPr>
              <w:autoSpaceDN w:val="0"/>
              <w:snapToGrid w:val="0"/>
              <w:spacing w:line="240" w:lineRule="auto"/>
              <w:ind w:firstLine="0" w:firstLineChars="0"/>
              <w:jc w:val="center"/>
              <w:rPr>
                <w:rFonts w:eastAsia="仿宋_GB2312" w:cs="Times New Roman"/>
                <w:b/>
                <w:szCs w:val="21"/>
              </w:rPr>
            </w:pPr>
            <w:r>
              <w:rPr>
                <w:rFonts w:eastAsia="仿宋_GB2312" w:cs="Times New Roman"/>
                <w:b/>
                <w:szCs w:val="21"/>
              </w:rPr>
              <w:t>NH</w:t>
            </w:r>
            <w:r>
              <w:rPr>
                <w:rFonts w:eastAsia="仿宋_GB2312" w:cs="Times New Roman"/>
                <w:b/>
                <w:szCs w:val="21"/>
                <w:vertAlign w:val="subscript"/>
              </w:rPr>
              <w:t>3</w:t>
            </w:r>
            <w:r>
              <w:rPr>
                <w:rFonts w:eastAsia="仿宋_GB2312" w:cs="Times New Roman"/>
                <w:b/>
                <w:szCs w:val="21"/>
              </w:rPr>
              <w:t>-N（t/y）</w:t>
            </w:r>
          </w:p>
        </w:tc>
        <w:tc>
          <w:tcPr>
            <w:tcW w:w="1304" w:type="dxa"/>
            <w:vAlign w:val="center"/>
          </w:tcPr>
          <w:p>
            <w:pPr>
              <w:autoSpaceDN w:val="0"/>
              <w:snapToGrid w:val="0"/>
              <w:spacing w:line="240" w:lineRule="auto"/>
              <w:ind w:firstLine="0" w:firstLineChars="0"/>
              <w:jc w:val="center"/>
              <w:rPr>
                <w:rFonts w:eastAsia="仿宋_GB2312" w:cs="Times New Roman"/>
                <w:b/>
                <w:szCs w:val="21"/>
              </w:rPr>
            </w:pPr>
            <w:r>
              <w:rPr>
                <w:rFonts w:eastAsia="仿宋_GB2312" w:cs="Times New Roman"/>
                <w:b/>
                <w:szCs w:val="21"/>
              </w:rPr>
              <w:t>TP（t/y）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449" w:hRule="atLeast"/>
          <w:jc w:val="center"/>
        </w:trPr>
        <w:tc>
          <w:tcPr>
            <w:tcW w:w="1146" w:type="dxa"/>
            <w:vMerge w:val="restart"/>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点源</w:t>
            </w:r>
          </w:p>
        </w:tc>
        <w:tc>
          <w:tcPr>
            <w:tcW w:w="2620"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城镇生活源</w:t>
            </w:r>
          </w:p>
        </w:tc>
        <w:tc>
          <w:tcPr>
            <w:tcW w:w="1747"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146.0</w:t>
            </w:r>
          </w:p>
        </w:tc>
        <w:tc>
          <w:tcPr>
            <w:tcW w:w="1969"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7.3</w:t>
            </w:r>
          </w:p>
        </w:tc>
        <w:tc>
          <w:tcPr>
            <w:tcW w:w="1304"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1.46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477" w:hRule="atLeast"/>
          <w:jc w:val="center"/>
        </w:trPr>
        <w:tc>
          <w:tcPr>
            <w:tcW w:w="1146" w:type="dxa"/>
            <w:vMerge w:val="continue"/>
            <w:vAlign w:val="center"/>
          </w:tcPr>
          <w:p>
            <w:pPr>
              <w:autoSpaceDN w:val="0"/>
              <w:snapToGrid w:val="0"/>
              <w:spacing w:line="240" w:lineRule="auto"/>
              <w:ind w:firstLine="0" w:firstLineChars="0"/>
              <w:jc w:val="center"/>
              <w:rPr>
                <w:rFonts w:eastAsia="仿宋_GB2312" w:cs="Times New Roman"/>
                <w:szCs w:val="21"/>
              </w:rPr>
            </w:pPr>
          </w:p>
        </w:tc>
        <w:tc>
          <w:tcPr>
            <w:tcW w:w="2620"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工业源</w:t>
            </w:r>
          </w:p>
        </w:tc>
        <w:tc>
          <w:tcPr>
            <w:tcW w:w="1747"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0</w:t>
            </w:r>
          </w:p>
        </w:tc>
        <w:tc>
          <w:tcPr>
            <w:tcW w:w="1969"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0</w:t>
            </w:r>
          </w:p>
        </w:tc>
        <w:tc>
          <w:tcPr>
            <w:tcW w:w="1304"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463" w:hRule="atLeast"/>
          <w:jc w:val="center"/>
        </w:trPr>
        <w:tc>
          <w:tcPr>
            <w:tcW w:w="1146" w:type="dxa"/>
            <w:vMerge w:val="continue"/>
            <w:vAlign w:val="center"/>
          </w:tcPr>
          <w:p>
            <w:pPr>
              <w:autoSpaceDN w:val="0"/>
              <w:snapToGrid w:val="0"/>
              <w:spacing w:line="240" w:lineRule="auto"/>
              <w:ind w:firstLine="0" w:firstLineChars="0"/>
              <w:jc w:val="center"/>
              <w:rPr>
                <w:rFonts w:eastAsia="仿宋_GB2312" w:cs="Times New Roman"/>
                <w:szCs w:val="21"/>
              </w:rPr>
            </w:pPr>
          </w:p>
        </w:tc>
        <w:tc>
          <w:tcPr>
            <w:tcW w:w="2620"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规模化畜禽养殖源</w:t>
            </w:r>
          </w:p>
        </w:tc>
        <w:tc>
          <w:tcPr>
            <w:tcW w:w="1747"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0</w:t>
            </w:r>
          </w:p>
        </w:tc>
        <w:tc>
          <w:tcPr>
            <w:tcW w:w="1969"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0</w:t>
            </w:r>
          </w:p>
        </w:tc>
        <w:tc>
          <w:tcPr>
            <w:tcW w:w="1304"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505" w:hRule="atLeast"/>
          <w:jc w:val="center"/>
        </w:trPr>
        <w:tc>
          <w:tcPr>
            <w:tcW w:w="1146" w:type="dxa"/>
            <w:vMerge w:val="restart"/>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非点源</w:t>
            </w:r>
          </w:p>
        </w:tc>
        <w:tc>
          <w:tcPr>
            <w:tcW w:w="2620"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城市面源</w:t>
            </w:r>
          </w:p>
        </w:tc>
        <w:tc>
          <w:tcPr>
            <w:tcW w:w="1747"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121.0</w:t>
            </w:r>
          </w:p>
        </w:tc>
        <w:tc>
          <w:tcPr>
            <w:tcW w:w="1969"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18.2</w:t>
            </w:r>
          </w:p>
        </w:tc>
        <w:tc>
          <w:tcPr>
            <w:tcW w:w="1304"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2.42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464" w:hRule="atLeast"/>
          <w:jc w:val="center"/>
        </w:trPr>
        <w:tc>
          <w:tcPr>
            <w:tcW w:w="1146" w:type="dxa"/>
            <w:vMerge w:val="continue"/>
            <w:vAlign w:val="center"/>
          </w:tcPr>
          <w:p>
            <w:pPr>
              <w:autoSpaceDN w:val="0"/>
              <w:snapToGrid w:val="0"/>
              <w:spacing w:line="240" w:lineRule="auto"/>
              <w:ind w:firstLine="0" w:firstLineChars="0"/>
              <w:jc w:val="center"/>
              <w:rPr>
                <w:rFonts w:eastAsia="仿宋_GB2312" w:cs="Times New Roman"/>
                <w:szCs w:val="21"/>
              </w:rPr>
            </w:pPr>
          </w:p>
        </w:tc>
        <w:tc>
          <w:tcPr>
            <w:tcW w:w="2620"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种植业面源</w:t>
            </w:r>
          </w:p>
        </w:tc>
        <w:tc>
          <w:tcPr>
            <w:tcW w:w="1747"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w:t>
            </w:r>
          </w:p>
        </w:tc>
        <w:tc>
          <w:tcPr>
            <w:tcW w:w="1969"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2.0</w:t>
            </w:r>
          </w:p>
        </w:tc>
        <w:tc>
          <w:tcPr>
            <w:tcW w:w="1304"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604" w:hRule="atLeast"/>
          <w:jc w:val="center"/>
        </w:trPr>
        <w:tc>
          <w:tcPr>
            <w:tcW w:w="1146" w:type="dxa"/>
            <w:vMerge w:val="continue"/>
            <w:vAlign w:val="center"/>
          </w:tcPr>
          <w:p>
            <w:pPr>
              <w:autoSpaceDN w:val="0"/>
              <w:snapToGrid w:val="0"/>
              <w:spacing w:line="240" w:lineRule="auto"/>
              <w:ind w:firstLine="0" w:firstLineChars="0"/>
              <w:jc w:val="center"/>
              <w:rPr>
                <w:rFonts w:eastAsia="仿宋_GB2312" w:cs="Times New Roman"/>
                <w:szCs w:val="21"/>
              </w:rPr>
            </w:pPr>
          </w:p>
        </w:tc>
        <w:tc>
          <w:tcPr>
            <w:tcW w:w="2620"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农村生活源</w:t>
            </w:r>
          </w:p>
        </w:tc>
        <w:tc>
          <w:tcPr>
            <w:tcW w:w="1747"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67.5</w:t>
            </w:r>
          </w:p>
        </w:tc>
        <w:tc>
          <w:tcPr>
            <w:tcW w:w="1969"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6.8</w:t>
            </w:r>
          </w:p>
        </w:tc>
        <w:tc>
          <w:tcPr>
            <w:tcW w:w="1304" w:type="dxa"/>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477" w:hRule="atLeast"/>
          <w:jc w:val="center"/>
        </w:trPr>
        <w:tc>
          <w:tcPr>
            <w:tcW w:w="3766" w:type="dxa"/>
            <w:gridSpan w:val="2"/>
            <w:vAlign w:val="center"/>
          </w:tcPr>
          <w:p>
            <w:pPr>
              <w:autoSpaceDN w:val="0"/>
              <w:snapToGrid w:val="0"/>
              <w:spacing w:line="240" w:lineRule="auto"/>
              <w:ind w:firstLine="0" w:firstLineChars="0"/>
              <w:jc w:val="center"/>
              <w:rPr>
                <w:rFonts w:eastAsia="仿宋_GB2312" w:cs="Times New Roman"/>
                <w:szCs w:val="21"/>
              </w:rPr>
            </w:pPr>
            <w:r>
              <w:rPr>
                <w:rFonts w:eastAsia="仿宋_GB2312" w:cs="Times New Roman"/>
                <w:szCs w:val="21"/>
              </w:rPr>
              <w:t>合计</w:t>
            </w:r>
          </w:p>
        </w:tc>
        <w:tc>
          <w:tcPr>
            <w:tcW w:w="1747" w:type="dxa"/>
            <w:vAlign w:val="center"/>
          </w:tcPr>
          <w:p>
            <w:pPr>
              <w:snapToGrid w:val="0"/>
              <w:spacing w:line="240" w:lineRule="auto"/>
              <w:ind w:firstLine="0" w:firstLineChars="0"/>
              <w:jc w:val="center"/>
              <w:rPr>
                <w:rFonts w:eastAsia="仿宋_GB2312" w:cs="Times New Roman"/>
                <w:kern w:val="0"/>
                <w:szCs w:val="21"/>
              </w:rPr>
            </w:pPr>
            <w:r>
              <w:rPr>
                <w:rFonts w:eastAsia="仿宋_GB2312" w:cs="Times New Roman"/>
                <w:szCs w:val="21"/>
              </w:rPr>
              <w:t>334.5</w:t>
            </w:r>
          </w:p>
        </w:tc>
        <w:tc>
          <w:tcPr>
            <w:tcW w:w="1969" w:type="dxa"/>
            <w:vAlign w:val="center"/>
          </w:tcPr>
          <w:p>
            <w:pPr>
              <w:snapToGrid w:val="0"/>
              <w:spacing w:line="240" w:lineRule="auto"/>
              <w:ind w:firstLine="0" w:firstLineChars="0"/>
              <w:jc w:val="center"/>
              <w:rPr>
                <w:rFonts w:eastAsia="仿宋_GB2312" w:cs="Times New Roman"/>
                <w:szCs w:val="21"/>
              </w:rPr>
            </w:pPr>
            <w:r>
              <w:rPr>
                <w:rFonts w:eastAsia="仿宋_GB2312" w:cs="Times New Roman"/>
                <w:szCs w:val="21"/>
              </w:rPr>
              <w:t>34.3</w:t>
            </w:r>
          </w:p>
        </w:tc>
        <w:tc>
          <w:tcPr>
            <w:tcW w:w="1304" w:type="dxa"/>
            <w:vAlign w:val="center"/>
          </w:tcPr>
          <w:p>
            <w:pPr>
              <w:snapToGrid w:val="0"/>
              <w:spacing w:line="240" w:lineRule="auto"/>
              <w:ind w:firstLine="0" w:firstLineChars="0"/>
              <w:jc w:val="center"/>
              <w:rPr>
                <w:rFonts w:eastAsia="仿宋_GB2312" w:cs="Times New Roman"/>
                <w:szCs w:val="21"/>
              </w:rPr>
            </w:pPr>
            <w:r>
              <w:rPr>
                <w:rFonts w:eastAsia="仿宋_GB2312" w:cs="Times New Roman"/>
                <w:szCs w:val="21"/>
              </w:rPr>
              <w:t>8.94</w:t>
            </w:r>
          </w:p>
        </w:tc>
      </w:tr>
    </w:tbl>
    <w:p>
      <w:pPr>
        <w:autoSpaceDN w:val="0"/>
        <w:spacing w:line="590" w:lineRule="exact"/>
        <w:ind w:firstLine="640"/>
        <w:rPr>
          <w:rFonts w:eastAsia="仿宋_GB2312" w:cs="Times New Roman"/>
          <w:sz w:val="32"/>
          <w:szCs w:val="32"/>
        </w:rPr>
      </w:pPr>
      <w:r>
        <w:rPr>
          <w:rFonts w:eastAsia="仿宋_GB2312" w:cs="Times New Roman"/>
          <w:sz w:val="32"/>
          <w:szCs w:val="32"/>
        </w:rPr>
        <w:t>经过方案的初步实施，现状年，区域主要污染物负荷来源为城镇生活源、城市径流面源和种植业面源。</w:t>
      </w:r>
    </w:p>
    <w:p>
      <w:pPr>
        <w:autoSpaceDN w:val="0"/>
        <w:spacing w:line="590" w:lineRule="exact"/>
        <w:ind w:firstLine="640"/>
        <w:rPr>
          <w:rFonts w:eastAsia="仿宋_GB2312" w:cs="Times New Roman"/>
          <w:sz w:val="32"/>
          <w:szCs w:val="32"/>
        </w:rPr>
      </w:pPr>
      <w:r>
        <w:rPr>
          <w:rFonts w:eastAsia="仿宋_GB2312" w:cs="Times New Roman"/>
          <w:sz w:val="32"/>
          <w:szCs w:val="32"/>
        </w:rPr>
        <w:t>其中，区域COD的主要负荷来源为城镇生活源，总排放量为146t/y，占总负荷排放量的43.6%，其次是城镇径流面源，总排放量为121t/y，占总负荷排放量的36.1%；氨氮的主要负荷来源为城镇径流面源，总排放量为18.2t/y，占总负荷排放量的53.1%，其次是城镇生活源，总排放量为7.3t/y，占总负荷排放量的21.2%；总磷的主要负荷来源为种植业面源流失，总排放量为4.16t/y，占总负荷排放量的46.5%，其次是城镇径流面源，总排放量为2.42t/y，占总负荷排放量的27.1%。</w:t>
      </w:r>
    </w:p>
    <w:p>
      <w:pPr>
        <w:autoSpaceDN w:val="0"/>
        <w:spacing w:line="590" w:lineRule="exact"/>
        <w:ind w:firstLine="640"/>
        <w:rPr>
          <w:rFonts w:eastAsia="仿宋_GB2312" w:cs="Times New Roman"/>
          <w:bCs/>
          <w:sz w:val="32"/>
          <w:szCs w:val="32"/>
        </w:rPr>
      </w:pPr>
      <w:r>
        <w:rPr>
          <w:rFonts w:eastAsia="仿宋_GB2312" w:cs="Times New Roman"/>
          <w:bCs/>
          <w:sz w:val="32"/>
          <w:szCs w:val="32"/>
        </w:rPr>
        <w:t>对比方案实施前负荷排放情况，方案实施前的2016年，区域城镇生活源负荷排放量占比最大（COD占55%以上，氨氮占71%，TP占53%）；可见方案实施后，城镇生活源入北运河的负荷排放量明显减少，城镇生活污水集中处理达标后排放对有效削减入北运河负荷总量，改善北运河水质意义明显。</w:t>
      </w:r>
    </w:p>
    <w:p>
      <w:pPr>
        <w:pStyle w:val="2"/>
        <w:autoSpaceDN w:val="0"/>
        <w:snapToGrid w:val="0"/>
        <w:spacing w:line="590" w:lineRule="exact"/>
        <w:ind w:firstLine="640"/>
        <w:jc w:val="both"/>
        <w:rPr>
          <w:rFonts w:ascii="黑体" w:hAnsi="黑体"/>
          <w:bCs w:val="0"/>
          <w:kern w:val="2"/>
          <w:szCs w:val="32"/>
        </w:rPr>
      </w:pPr>
      <w:bookmarkStart w:id="425" w:name="_Toc21720692"/>
      <w:r>
        <w:rPr>
          <w:rFonts w:ascii="黑体" w:hAnsi="黑体"/>
          <w:bCs w:val="0"/>
          <w:kern w:val="2"/>
          <w:szCs w:val="32"/>
        </w:rPr>
        <w:t>五、工程项目实施情况评估</w:t>
      </w:r>
      <w:bookmarkEnd w:id="425"/>
    </w:p>
    <w:p>
      <w:pPr>
        <w:pStyle w:val="3"/>
        <w:autoSpaceDN w:val="0"/>
        <w:snapToGrid w:val="0"/>
        <w:spacing w:line="590" w:lineRule="exact"/>
        <w:ind w:firstLine="643"/>
        <w:rPr>
          <w:rFonts w:eastAsia="楷体_GB2312"/>
          <w:bCs w:val="0"/>
        </w:rPr>
      </w:pPr>
      <w:bookmarkStart w:id="426" w:name="_Toc21720693"/>
      <w:r>
        <w:rPr>
          <w:rFonts w:eastAsia="楷体_GB2312"/>
          <w:bCs w:val="0"/>
        </w:rPr>
        <w:t>5.1总体情况</w:t>
      </w:r>
      <w:bookmarkEnd w:id="426"/>
    </w:p>
    <w:p>
      <w:pPr>
        <w:snapToGrid w:val="0"/>
        <w:spacing w:line="590" w:lineRule="exact"/>
        <w:ind w:firstLine="640"/>
        <w:rPr>
          <w:rFonts w:eastAsia="仿宋_GB2312" w:cs="Times New Roman"/>
          <w:sz w:val="32"/>
          <w:szCs w:val="32"/>
        </w:rPr>
      </w:pPr>
      <w:r>
        <w:rPr>
          <w:rFonts w:eastAsia="仿宋_GB2312" w:cs="Times New Roman"/>
          <w:sz w:val="32"/>
          <w:szCs w:val="32"/>
        </w:rPr>
        <w:t>《水污染防治行动计划》要求未达到水质目标要求的地区要制定达标方案，由于北运河香河县下游控制断面土门楼断面未达到国家考核目标，为了改善北运河水质，确保考核达标，廊坊市政府印发实施了《廊坊市北运河水质达标方案》（以下简称“原达标方案”）。</w:t>
      </w:r>
    </w:p>
    <w:p>
      <w:pPr>
        <w:snapToGrid w:val="0"/>
        <w:spacing w:line="590" w:lineRule="exact"/>
        <w:ind w:firstLine="640"/>
        <w:rPr>
          <w:rFonts w:eastAsia="仿宋_GB2312" w:cs="Times New Roman"/>
          <w:bCs/>
          <w:sz w:val="32"/>
          <w:szCs w:val="32"/>
        </w:rPr>
      </w:pPr>
      <w:r>
        <w:rPr>
          <w:rFonts w:eastAsia="仿宋_GB2312" w:cs="Times New Roman"/>
          <w:sz w:val="32"/>
          <w:szCs w:val="32"/>
        </w:rPr>
        <w:t>原达标方案以2015年为基准年，针对</w:t>
      </w:r>
      <w:r>
        <w:rPr>
          <w:rFonts w:eastAsia="仿宋_GB2312" w:cs="Times New Roman"/>
          <w:bCs/>
          <w:sz w:val="32"/>
          <w:szCs w:val="32"/>
        </w:rPr>
        <w:t>北运河香河段属于上游北京市城市排水自净河段，水环境主要受上游来水水质背景浓度影响，同时控制单元内城镇生活源、城镇面源、农村生活及农业种植源等多种污染源复合叠加的复杂水环境问题特征，提出了</w:t>
      </w:r>
      <w:r>
        <w:rPr>
          <w:rFonts w:eastAsia="仿宋_GB2312" w:cs="Times New Roman"/>
          <w:sz w:val="32"/>
          <w:szCs w:val="32"/>
        </w:rPr>
        <w:t>以北运河</w:t>
      </w:r>
      <w:r>
        <w:rPr>
          <w:rFonts w:hint="eastAsia" w:ascii="黑体" w:hAnsi="黑体" w:eastAsia="黑体" w:cs="Times New Roman"/>
          <w:bCs/>
          <w:sz w:val="32"/>
          <w:szCs w:val="32"/>
        </w:rPr>
        <w:t>-</w:t>
      </w:r>
      <w:r>
        <w:rPr>
          <w:rFonts w:eastAsia="仿宋_GB2312" w:cs="Times New Roman"/>
          <w:sz w:val="32"/>
          <w:szCs w:val="32"/>
        </w:rPr>
        <w:t>潮白河沿线治理为主，</w:t>
      </w:r>
      <w:r>
        <w:rPr>
          <w:rFonts w:eastAsia="仿宋_GB2312" w:cs="Times New Roman"/>
          <w:bCs/>
          <w:sz w:val="32"/>
          <w:szCs w:val="32"/>
        </w:rPr>
        <w:t>落实</w:t>
      </w:r>
      <w:r>
        <w:rPr>
          <w:rFonts w:eastAsia="仿宋_GB2312" w:cs="Times New Roman"/>
          <w:sz w:val="32"/>
          <w:szCs w:val="32"/>
        </w:rPr>
        <w:t>以控制源头为主、削减负荷为重、生态恢复为辅的总体战略，通过</w:t>
      </w:r>
      <w:r>
        <w:rPr>
          <w:rFonts w:eastAsia="仿宋_GB2312" w:cs="Times New Roman"/>
          <w:kern w:val="44"/>
          <w:sz w:val="32"/>
          <w:szCs w:val="32"/>
        </w:rPr>
        <w:t>优先对城镇生活源和农村面源进行源头削减，</w:t>
      </w:r>
      <w:r>
        <w:rPr>
          <w:rFonts w:eastAsia="仿宋_GB2312" w:cs="Times New Roman"/>
          <w:sz w:val="32"/>
          <w:szCs w:val="32"/>
        </w:rPr>
        <w:t>杜绝已净化水体在下游区域发生水质二次恶化状况，同时通过采取</w:t>
      </w:r>
      <w:r>
        <w:rPr>
          <w:rFonts w:eastAsia="仿宋_GB2312" w:cs="Times New Roman"/>
          <w:kern w:val="44"/>
          <w:sz w:val="32"/>
          <w:szCs w:val="32"/>
        </w:rPr>
        <w:t>适宜的河道生态修复的水体治理措施，依托节点控制、末端控制形成综合污染治理格局，</w:t>
      </w:r>
      <w:r>
        <w:rPr>
          <w:rFonts w:eastAsia="仿宋_GB2312" w:cs="Times New Roman"/>
          <w:sz w:val="32"/>
          <w:szCs w:val="32"/>
        </w:rPr>
        <w:t>实现北运河上下游协同治理、整体达标。</w:t>
      </w:r>
      <w:r>
        <w:rPr>
          <w:rFonts w:eastAsia="仿宋_GB2312" w:cs="Times New Roman"/>
          <w:bCs/>
          <w:sz w:val="32"/>
          <w:szCs w:val="32"/>
        </w:rPr>
        <w:t>根据北运河水质达标目标，原达标方案中安排了8项重点工程，包括流域污染源治理项目6项，生态修复湿地项目1项目，其他辅助类项目1项。</w:t>
      </w:r>
    </w:p>
    <w:p>
      <w:pPr>
        <w:snapToGrid w:val="0"/>
        <w:spacing w:line="590" w:lineRule="exact"/>
        <w:ind w:firstLine="640"/>
        <w:rPr>
          <w:rFonts w:eastAsia="仿宋_GB2312" w:cs="Times New Roman"/>
          <w:sz w:val="32"/>
          <w:szCs w:val="32"/>
        </w:rPr>
      </w:pPr>
      <w:r>
        <w:rPr>
          <w:rFonts w:eastAsia="仿宋_GB2312" w:cs="Times New Roman"/>
          <w:sz w:val="32"/>
          <w:szCs w:val="32"/>
        </w:rPr>
        <w:t>通过原达标方案的实施，2016</w:t>
      </w:r>
      <w:r>
        <w:rPr>
          <w:rFonts w:hint="eastAsia" w:eastAsia="仿宋_GB2312" w:cs="Times New Roman"/>
          <w:sz w:val="32"/>
          <w:szCs w:val="32"/>
        </w:rPr>
        <w:t>—</w:t>
      </w:r>
      <w:r>
        <w:rPr>
          <w:rFonts w:eastAsia="仿宋_GB2312" w:cs="Times New Roman"/>
          <w:sz w:val="32"/>
          <w:szCs w:val="32"/>
        </w:rPr>
        <w:t>2018年北运河土门楼断面水质改善明显。2018年，土门楼断面监测8次（2月、5月、7月和11月断流），结果显示断面各项指标达到地表水</w:t>
      </w:r>
      <w:r>
        <w:rPr>
          <w:rFonts w:cs="Times New Roman"/>
          <w:sz w:val="32"/>
          <w:szCs w:val="32"/>
        </w:rPr>
        <w:t>Ⅳ</w:t>
      </w:r>
      <w:r>
        <w:rPr>
          <w:rFonts w:eastAsia="仿宋_GB2312" w:cs="Times New Roman"/>
          <w:sz w:val="32"/>
          <w:szCs w:val="32"/>
        </w:rPr>
        <w:t>类水体标准，达到考核要求，已提前一年完成消除劣V类任务。</w:t>
      </w:r>
    </w:p>
    <w:p>
      <w:pPr>
        <w:snapToGrid w:val="0"/>
        <w:spacing w:line="590" w:lineRule="exact"/>
        <w:ind w:firstLine="640"/>
        <w:rPr>
          <w:rFonts w:eastAsia="仿宋_GB2312" w:cs="Times New Roman"/>
          <w:bCs/>
          <w:sz w:val="32"/>
          <w:szCs w:val="32"/>
        </w:rPr>
      </w:pPr>
      <w:r>
        <w:rPr>
          <w:rFonts w:eastAsia="仿宋_GB2312" w:cs="Times New Roman"/>
          <w:color w:val="000000"/>
          <w:sz w:val="32"/>
          <w:szCs w:val="32"/>
        </w:rPr>
        <w:t>通过原达标方案的实施，廊坊市北运河流域水污染防治能力得到了很大的提升。香河县已完成了4项重点工程（含1项分期建设工程部分完成），5项工程未完成（含1项分期建设工程部分未完成），其中4项工程由于现状条件的改变，已不具备实施的必要性，建议取消</w:t>
      </w:r>
      <w:r>
        <w:rPr>
          <w:rFonts w:eastAsia="仿宋_GB2312" w:cs="Times New Roman"/>
          <w:bCs/>
          <w:sz w:val="32"/>
          <w:szCs w:val="32"/>
        </w:rPr>
        <w:t>。</w:t>
      </w:r>
    </w:p>
    <w:p>
      <w:pPr>
        <w:autoSpaceDN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通过原达标方案实施情况的评估和北运河流域实际情况的分析，现状流域条件发生巨大变化，原有的部分水环境问题已基本得到解决，新的水环境问题成为当前的重点，水质改善的重点任务和方向发生转移。</w:t>
      </w:r>
    </w:p>
    <w:p>
      <w:pPr>
        <w:pStyle w:val="3"/>
        <w:autoSpaceDN w:val="0"/>
        <w:snapToGrid w:val="0"/>
        <w:spacing w:line="590" w:lineRule="exact"/>
        <w:ind w:firstLine="643"/>
        <w:rPr>
          <w:rFonts w:eastAsia="楷体_GB2312"/>
          <w:bCs w:val="0"/>
        </w:rPr>
      </w:pPr>
      <w:bookmarkStart w:id="427" w:name="_Toc21720694"/>
      <w:r>
        <w:rPr>
          <w:rFonts w:eastAsia="楷体_GB2312"/>
          <w:bCs w:val="0"/>
        </w:rPr>
        <w:t>5.2水质改善情况</w:t>
      </w:r>
      <w:bookmarkEnd w:id="427"/>
    </w:p>
    <w:p>
      <w:pPr>
        <w:autoSpaceDN w:val="0"/>
        <w:spacing w:line="590" w:lineRule="exact"/>
        <w:ind w:firstLine="640"/>
        <w:rPr>
          <w:rFonts w:eastAsia="仿宋_GB2312" w:cs="Times New Roman"/>
          <w:sz w:val="32"/>
          <w:szCs w:val="32"/>
        </w:rPr>
      </w:pPr>
      <w:r>
        <w:rPr>
          <w:rFonts w:eastAsia="仿宋_GB2312" w:cs="Times New Roman"/>
          <w:sz w:val="32"/>
          <w:szCs w:val="32"/>
        </w:rPr>
        <w:t>根据国控断面水质监测结果，原达标方案实施前，北运河干流COD除局部时段超标外，基本达到V类水体要求，NH</w:t>
      </w:r>
      <w:r>
        <w:rPr>
          <w:rFonts w:eastAsia="仿宋_GB2312" w:cs="Times New Roman"/>
          <w:sz w:val="32"/>
          <w:szCs w:val="32"/>
          <w:vertAlign w:val="subscript"/>
        </w:rPr>
        <w:t>3</w:t>
      </w:r>
      <w:r>
        <w:rPr>
          <w:rFonts w:hint="eastAsia" w:eastAsia="仿宋_GB2312" w:cs="Times New Roman"/>
          <w:sz w:val="32"/>
          <w:szCs w:val="32"/>
        </w:rPr>
        <w:t>—</w:t>
      </w:r>
      <w:r>
        <w:rPr>
          <w:rFonts w:eastAsia="仿宋_GB2312" w:cs="Times New Roman"/>
          <w:sz w:val="32"/>
          <w:szCs w:val="32"/>
        </w:rPr>
        <w:t>N、TP指标常年劣于V类标准；凤港减河仅COD指标局部时段能达到V类水体要求，NH</w:t>
      </w:r>
      <w:r>
        <w:rPr>
          <w:rFonts w:eastAsia="仿宋_GB2312" w:cs="Times New Roman"/>
          <w:sz w:val="32"/>
          <w:szCs w:val="32"/>
          <w:vertAlign w:val="subscript"/>
        </w:rPr>
        <w:t>3</w:t>
      </w:r>
      <w:r>
        <w:rPr>
          <w:rFonts w:hint="eastAsia" w:eastAsia="仿宋_GB2312" w:cs="Times New Roman"/>
          <w:sz w:val="32"/>
          <w:szCs w:val="32"/>
        </w:rPr>
        <w:t>—</w:t>
      </w:r>
      <w:r>
        <w:rPr>
          <w:rFonts w:eastAsia="仿宋_GB2312" w:cs="Times New Roman"/>
          <w:sz w:val="32"/>
          <w:szCs w:val="32"/>
        </w:rPr>
        <w:t>N和TP指标全年劣于V类标准。</w:t>
      </w:r>
    </w:p>
    <w:p>
      <w:pPr>
        <w:snapToGrid w:val="0"/>
        <w:spacing w:line="590" w:lineRule="exact"/>
        <w:ind w:firstLine="640"/>
        <w:rPr>
          <w:rFonts w:eastAsia="仿宋_GB2312" w:cs="Times New Roman"/>
          <w:sz w:val="32"/>
          <w:szCs w:val="32"/>
        </w:rPr>
      </w:pPr>
      <w:r>
        <w:rPr>
          <w:rFonts w:eastAsia="仿宋_GB2312" w:cs="Times New Roman"/>
          <w:sz w:val="32"/>
          <w:szCs w:val="32"/>
        </w:rPr>
        <w:t>从原达标方案实施后，2016</w:t>
      </w:r>
      <w:r>
        <w:rPr>
          <w:rFonts w:hint="eastAsia" w:eastAsia="仿宋_GB2312" w:cs="Times New Roman"/>
          <w:sz w:val="32"/>
          <w:szCs w:val="32"/>
        </w:rPr>
        <w:t>—</w:t>
      </w:r>
      <w:r>
        <w:rPr>
          <w:rFonts w:eastAsia="仿宋_GB2312" w:cs="Times New Roman"/>
          <w:sz w:val="32"/>
          <w:szCs w:val="32"/>
        </w:rPr>
        <w:t>2018年水质变化趋势来看，2016、2017和2018年，土门楼断面水质达标率分别为0%、50%、100%，呈逐年上升趋势；断面主要污染物指标年均浓度呈显著下降趋势，2018年断面氨氮、总磷、化学需氧量和高锰酸盐指数浓度较2016年水平分别下降93.3%、88.1%、34.1%和33.9%。2018年，土门楼断面监测8次（2月、5月、7月和11月断流），结果显示断面主要水质指标年均值为COD28mg/L、氨氮0.96mg/L、总磷0.18mg/L，已达到地表水</w:t>
      </w:r>
      <w:r>
        <w:rPr>
          <w:rFonts w:cs="Times New Roman"/>
          <w:sz w:val="32"/>
          <w:szCs w:val="32"/>
        </w:rPr>
        <w:t>Ⅳ</w:t>
      </w:r>
      <w:r>
        <w:rPr>
          <w:rFonts w:eastAsia="仿宋_GB2312" w:cs="Times New Roman"/>
          <w:sz w:val="32"/>
          <w:szCs w:val="32"/>
        </w:rPr>
        <w:t>类水体标准，提前一年完成消除劣V类任务。但同期凤港减河、小友垡</w:t>
      </w:r>
      <w:r>
        <w:rPr>
          <w:rFonts w:hint="eastAsia" w:eastAsia="仿宋_GB2312" w:cs="Times New Roman"/>
          <w:sz w:val="32"/>
          <w:szCs w:val="32"/>
        </w:rPr>
        <w:t>排</w:t>
      </w:r>
      <w:r>
        <w:rPr>
          <w:rFonts w:eastAsia="仿宋_GB2312" w:cs="Times New Roman"/>
          <w:sz w:val="32"/>
          <w:szCs w:val="32"/>
        </w:rPr>
        <w:t>干渠、秦营干渠等北运河香河段主要支流水质依然为劣V类，改善压力较大。</w:t>
      </w:r>
    </w:p>
    <w:p>
      <w:pPr>
        <w:pStyle w:val="3"/>
        <w:autoSpaceDN w:val="0"/>
        <w:snapToGrid w:val="0"/>
        <w:spacing w:line="590" w:lineRule="exact"/>
        <w:ind w:firstLine="643"/>
        <w:rPr>
          <w:rFonts w:eastAsia="楷体_GB2312"/>
          <w:bCs w:val="0"/>
        </w:rPr>
      </w:pPr>
      <w:bookmarkStart w:id="428" w:name="_Toc21720695"/>
      <w:r>
        <w:rPr>
          <w:rFonts w:eastAsia="楷体_GB2312"/>
          <w:bCs w:val="0"/>
        </w:rPr>
        <w:t>5.3工程实施情况</w:t>
      </w:r>
      <w:bookmarkEnd w:id="428"/>
    </w:p>
    <w:p>
      <w:pPr>
        <w:pStyle w:val="4"/>
        <w:autoSpaceDN w:val="0"/>
        <w:snapToGrid w:val="0"/>
        <w:spacing w:line="590" w:lineRule="exact"/>
        <w:ind w:firstLine="643"/>
      </w:pPr>
      <w:bookmarkStart w:id="429" w:name="_Toc21720696"/>
      <w:r>
        <w:t>5.3.1已完成工程项目</w:t>
      </w:r>
      <w:bookmarkEnd w:id="429"/>
    </w:p>
    <w:p>
      <w:pPr>
        <w:autoSpaceDN w:val="0"/>
        <w:snapToGrid w:val="0"/>
        <w:spacing w:line="590" w:lineRule="exact"/>
        <w:ind w:firstLine="640"/>
        <w:rPr>
          <w:rFonts w:eastAsia="仿宋_GB2312" w:cs="Times New Roman"/>
          <w:sz w:val="32"/>
          <w:szCs w:val="32"/>
        </w:rPr>
      </w:pPr>
      <w:r>
        <w:rPr>
          <w:rFonts w:eastAsia="仿宋_GB2312" w:cs="Times New Roman"/>
          <w:sz w:val="32"/>
          <w:szCs w:val="32"/>
        </w:rPr>
        <w:t>截止2018年12月，北运河廊坊市控制单元已经完成项目4个（含1项分期建设工程部分完成），其中城镇生活染源治理类项目2项，农村生活源治理类项目1项，环境监管能力建设项目1项。已完成工程项目具体情况见表5</w:t>
      </w:r>
      <w:r>
        <w:rPr>
          <w:rFonts w:hint="eastAsia" w:ascii="黑体" w:hAnsi="黑体" w:eastAsia="黑体" w:cs="Times New Roman"/>
          <w:bCs/>
          <w:sz w:val="32"/>
          <w:szCs w:val="32"/>
        </w:rPr>
        <w:t>-</w:t>
      </w:r>
      <w:r>
        <w:rPr>
          <w:rFonts w:eastAsia="仿宋_GB2312" w:cs="Times New Roman"/>
          <w:sz w:val="32"/>
          <w:szCs w:val="32"/>
        </w:rPr>
        <w:t>1。</w:t>
      </w:r>
    </w:p>
    <w:p>
      <w:pPr>
        <w:pStyle w:val="2"/>
        <w:autoSpaceDN w:val="0"/>
        <w:snapToGrid w:val="0"/>
        <w:spacing w:line="360" w:lineRule="auto"/>
        <w:ind w:firstLine="640"/>
        <w:jc w:val="center"/>
        <w:rPr>
          <w:rFonts w:eastAsia="仿宋_GB2312"/>
          <w:bCs w:val="0"/>
          <w:szCs w:val="28"/>
        </w:rPr>
        <w:sectPr>
          <w:headerReference r:id="rId19" w:type="default"/>
          <w:footerReference r:id="rId20" w:type="default"/>
          <w:footerReference r:id="rId21" w:type="even"/>
          <w:pgSz w:w="11906" w:h="16838"/>
          <w:pgMar w:top="2098" w:right="1531" w:bottom="1474" w:left="1531" w:header="851" w:footer="851" w:gutter="0"/>
          <w:pgNumType w:start="146"/>
          <w:cols w:space="720" w:num="1"/>
          <w:docGrid w:linePitch="312" w:charSpace="0"/>
        </w:sectPr>
      </w:pPr>
      <w:bookmarkStart w:id="430" w:name="_Hlk10321133"/>
    </w:p>
    <w:p>
      <w:pPr>
        <w:autoSpaceDN w:val="0"/>
        <w:spacing w:after="240" w:afterLines="100" w:line="584" w:lineRule="exact"/>
        <w:ind w:firstLine="640"/>
        <w:jc w:val="center"/>
        <w:rPr>
          <w:rFonts w:ascii="黑体" w:hAnsi="黑体" w:eastAsia="黑体" w:cs="Times New Roman"/>
          <w:bCs/>
          <w:sz w:val="32"/>
          <w:szCs w:val="32"/>
        </w:rPr>
      </w:pPr>
      <w:r>
        <w:rPr>
          <w:rFonts w:ascii="黑体" w:hAnsi="黑体" w:eastAsia="黑体" w:cs="Times New Roman"/>
          <w:bCs/>
          <w:sz w:val="32"/>
          <w:szCs w:val="32"/>
        </w:rPr>
        <w:t>表</w:t>
      </w:r>
      <w:r>
        <w:rPr>
          <w:rFonts w:eastAsia="黑体" w:cs="Times New Roman"/>
          <w:bCs/>
          <w:sz w:val="32"/>
          <w:szCs w:val="32"/>
        </w:rPr>
        <w:t xml:space="preserve">5-1 </w:t>
      </w:r>
      <w:r>
        <w:rPr>
          <w:rFonts w:hint="eastAsia" w:ascii="黑体" w:hAnsi="黑体" w:eastAsia="黑体" w:cs="Times New Roman"/>
          <w:bCs/>
          <w:sz w:val="32"/>
          <w:szCs w:val="32"/>
        </w:rPr>
        <w:t xml:space="preserve"> </w:t>
      </w:r>
      <w:r>
        <w:rPr>
          <w:rFonts w:ascii="黑体" w:hAnsi="黑体" w:eastAsia="黑体" w:cs="Times New Roman"/>
          <w:bCs/>
          <w:sz w:val="32"/>
          <w:szCs w:val="32"/>
        </w:rPr>
        <w:t>已完成工程项目清单</w:t>
      </w:r>
    </w:p>
    <w:tbl>
      <w:tblPr>
        <w:tblStyle w:val="9"/>
        <w:tblW w:w="132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6" w:type="dxa"/>
          <w:bottom w:w="0" w:type="dxa"/>
          <w:right w:w="6" w:type="dxa"/>
        </w:tblCellMar>
      </w:tblPr>
      <w:tblGrid>
        <w:gridCol w:w="454"/>
        <w:gridCol w:w="711"/>
        <w:gridCol w:w="14"/>
        <w:gridCol w:w="1036"/>
        <w:gridCol w:w="1633"/>
        <w:gridCol w:w="13"/>
        <w:gridCol w:w="925"/>
        <w:gridCol w:w="1254"/>
        <w:gridCol w:w="13"/>
        <w:gridCol w:w="824"/>
        <w:gridCol w:w="13"/>
        <w:gridCol w:w="3968"/>
        <w:gridCol w:w="867"/>
        <w:gridCol w:w="909"/>
        <w:gridCol w:w="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6" w:type="dxa"/>
            <w:bottom w:w="0" w:type="dxa"/>
            <w:right w:w="6" w:type="dxa"/>
          </w:tblCellMar>
        </w:tblPrEx>
        <w:trPr>
          <w:trHeight w:val="20" w:hRule="atLeast"/>
        </w:trPr>
        <w:tc>
          <w:tcPr>
            <w:tcW w:w="454" w:type="dxa"/>
            <w:vAlign w:val="center"/>
          </w:tcPr>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序号</w:t>
            </w:r>
          </w:p>
        </w:tc>
        <w:tc>
          <w:tcPr>
            <w:tcW w:w="711" w:type="dxa"/>
            <w:vAlign w:val="center"/>
          </w:tcPr>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隶属</w:t>
            </w:r>
          </w:p>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关系</w:t>
            </w:r>
          </w:p>
        </w:tc>
        <w:tc>
          <w:tcPr>
            <w:tcW w:w="1050" w:type="dxa"/>
            <w:gridSpan w:val="2"/>
            <w:vAlign w:val="center"/>
          </w:tcPr>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项目类型</w:t>
            </w:r>
          </w:p>
        </w:tc>
        <w:tc>
          <w:tcPr>
            <w:tcW w:w="1646" w:type="dxa"/>
            <w:gridSpan w:val="2"/>
            <w:vAlign w:val="center"/>
          </w:tcPr>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项目名称</w:t>
            </w:r>
          </w:p>
        </w:tc>
        <w:tc>
          <w:tcPr>
            <w:tcW w:w="925" w:type="dxa"/>
            <w:vAlign w:val="center"/>
          </w:tcPr>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建设</w:t>
            </w:r>
          </w:p>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地点</w:t>
            </w:r>
          </w:p>
        </w:tc>
        <w:tc>
          <w:tcPr>
            <w:tcW w:w="1254" w:type="dxa"/>
            <w:vAlign w:val="center"/>
          </w:tcPr>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建设周期</w:t>
            </w:r>
          </w:p>
        </w:tc>
        <w:tc>
          <w:tcPr>
            <w:tcW w:w="850" w:type="dxa"/>
            <w:gridSpan w:val="3"/>
            <w:vAlign w:val="center"/>
          </w:tcPr>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承担</w:t>
            </w:r>
          </w:p>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单位</w:t>
            </w:r>
          </w:p>
        </w:tc>
        <w:tc>
          <w:tcPr>
            <w:tcW w:w="3968" w:type="dxa"/>
            <w:vAlign w:val="center"/>
          </w:tcPr>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实施情况</w:t>
            </w:r>
          </w:p>
        </w:tc>
        <w:tc>
          <w:tcPr>
            <w:tcW w:w="867" w:type="dxa"/>
            <w:vAlign w:val="center"/>
          </w:tcPr>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总投资</w:t>
            </w:r>
          </w:p>
          <w:p>
            <w:pPr>
              <w:snapToGrid w:val="0"/>
              <w:spacing w:line="240" w:lineRule="auto"/>
              <w:ind w:firstLine="0" w:firstLineChars="0"/>
              <w:rPr>
                <w:rFonts w:eastAsia="仿宋_GB2312" w:cs="Times New Roman"/>
                <w:b/>
                <w:bCs/>
                <w:kern w:val="0"/>
                <w:sz w:val="21"/>
                <w:szCs w:val="21"/>
              </w:rPr>
            </w:pPr>
            <w:r>
              <w:rPr>
                <w:rFonts w:eastAsia="仿宋_GB2312" w:cs="Times New Roman"/>
                <w:b/>
                <w:bCs/>
                <w:kern w:val="0"/>
                <w:sz w:val="21"/>
                <w:szCs w:val="21"/>
              </w:rPr>
              <w:t>（万元）</w:t>
            </w:r>
          </w:p>
        </w:tc>
        <w:tc>
          <w:tcPr>
            <w:tcW w:w="909" w:type="dxa"/>
            <w:vAlign w:val="center"/>
          </w:tcPr>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关联</w:t>
            </w:r>
          </w:p>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水体</w:t>
            </w:r>
          </w:p>
        </w:tc>
        <w:tc>
          <w:tcPr>
            <w:tcW w:w="620" w:type="dxa"/>
            <w:vAlign w:val="center"/>
          </w:tcPr>
          <w:p>
            <w:pPr>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6" w:type="dxa"/>
            <w:bottom w:w="0" w:type="dxa"/>
            <w:right w:w="6" w:type="dxa"/>
          </w:tblCellMar>
        </w:tblPrEx>
        <w:trPr>
          <w:trHeight w:val="20" w:hRule="atLeast"/>
        </w:trPr>
        <w:tc>
          <w:tcPr>
            <w:tcW w:w="13254" w:type="dxa"/>
            <w:gridSpan w:val="15"/>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1</w:t>
            </w:r>
            <w:r>
              <w:rPr>
                <w:rFonts w:hint="eastAsia" w:eastAsia="仿宋_GB2312" w:cs="Times New Roman"/>
                <w:b/>
                <w:kern w:val="0"/>
                <w:sz w:val="21"/>
                <w:szCs w:val="21"/>
              </w:rPr>
              <w:t>-</w:t>
            </w:r>
            <w:r>
              <w:rPr>
                <w:rFonts w:eastAsia="仿宋_GB2312" w:cs="Times New Roman"/>
                <w:b/>
                <w:kern w:val="0"/>
                <w:sz w:val="21"/>
                <w:szCs w:val="21"/>
              </w:rPr>
              <w:t>流域污染源治理类项目小计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6" w:type="dxa"/>
            <w:bottom w:w="0" w:type="dxa"/>
            <w:right w:w="6" w:type="dxa"/>
          </w:tblCellMar>
        </w:tblPrEx>
        <w:trPr>
          <w:trHeight w:val="1995" w:hRule="atLeast"/>
        </w:trPr>
        <w:tc>
          <w:tcPr>
            <w:tcW w:w="45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725" w:type="dxa"/>
            <w:gridSpan w:val="2"/>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香河县</w:t>
            </w:r>
          </w:p>
        </w:tc>
        <w:tc>
          <w:tcPr>
            <w:tcW w:w="1036"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污水处理厂及配套管网建设</w:t>
            </w:r>
          </w:p>
        </w:tc>
        <w:tc>
          <w:tcPr>
            <w:tcW w:w="1646" w:type="dxa"/>
            <w:gridSpan w:val="2"/>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安平污水厂一期工艺改造及二期建设</w:t>
            </w:r>
          </w:p>
        </w:tc>
        <w:tc>
          <w:tcPr>
            <w:tcW w:w="925"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香河县安平镇</w:t>
            </w:r>
          </w:p>
        </w:tc>
        <w:tc>
          <w:tcPr>
            <w:tcW w:w="1267" w:type="dxa"/>
            <w:gridSpan w:val="2"/>
            <w:vAlign w:val="center"/>
          </w:tcPr>
          <w:p>
            <w:pPr>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2016-2018</w:t>
            </w:r>
            <w:r>
              <w:rPr>
                <w:rFonts w:hint="eastAsia" w:eastAsia="仿宋_GB2312" w:cs="Times New Roman"/>
                <w:kern w:val="0"/>
                <w:sz w:val="21"/>
                <w:szCs w:val="21"/>
              </w:rPr>
              <w:t>年</w:t>
            </w:r>
          </w:p>
        </w:tc>
        <w:tc>
          <w:tcPr>
            <w:tcW w:w="82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香河县政府</w:t>
            </w:r>
          </w:p>
        </w:tc>
        <w:tc>
          <w:tcPr>
            <w:tcW w:w="3981" w:type="dxa"/>
            <w:gridSpan w:val="2"/>
            <w:vAlign w:val="center"/>
          </w:tcPr>
          <w:p>
            <w:pPr>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项目在香河县安平镇建设安平污水厂一期1.5万吨污水处理厂工艺改造及二期1.5万吨建设工程。截止2018年底，安平污水厂一期1.5万吨污水处理厂工艺改造已经完成，出水指标可满足《城镇污水处理厂污染物排放标准》（GB 18918-2002）一级A要求。</w:t>
            </w:r>
          </w:p>
        </w:tc>
        <w:tc>
          <w:tcPr>
            <w:tcW w:w="867"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7500</w:t>
            </w:r>
          </w:p>
        </w:tc>
        <w:tc>
          <w:tcPr>
            <w:tcW w:w="909"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小友垡、北运河</w:t>
            </w:r>
          </w:p>
        </w:tc>
        <w:tc>
          <w:tcPr>
            <w:tcW w:w="620"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部分</w:t>
            </w:r>
          </w:p>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6" w:type="dxa"/>
            <w:bottom w:w="0" w:type="dxa"/>
            <w:right w:w="6" w:type="dxa"/>
          </w:tblCellMar>
        </w:tblPrEx>
        <w:trPr>
          <w:trHeight w:val="2763" w:hRule="atLeast"/>
        </w:trPr>
        <w:tc>
          <w:tcPr>
            <w:tcW w:w="45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725" w:type="dxa"/>
            <w:gridSpan w:val="2"/>
            <w:vAlign w:val="center"/>
          </w:tcPr>
          <w:p>
            <w:pPr>
              <w:adjustRightInd w:val="0"/>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香河县</w:t>
            </w:r>
          </w:p>
        </w:tc>
        <w:tc>
          <w:tcPr>
            <w:tcW w:w="1036" w:type="dxa"/>
            <w:vAlign w:val="center"/>
          </w:tcPr>
          <w:p>
            <w:pPr>
              <w:adjustRightInd w:val="0"/>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城镇污水厂尾水深度净化</w:t>
            </w:r>
          </w:p>
        </w:tc>
        <w:tc>
          <w:tcPr>
            <w:tcW w:w="1646" w:type="dxa"/>
            <w:gridSpan w:val="2"/>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安平污水厂尾水深度净化</w:t>
            </w:r>
          </w:p>
        </w:tc>
        <w:tc>
          <w:tcPr>
            <w:tcW w:w="925"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香河县安平镇</w:t>
            </w:r>
          </w:p>
        </w:tc>
        <w:tc>
          <w:tcPr>
            <w:tcW w:w="1267" w:type="dxa"/>
            <w:gridSpan w:val="2"/>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2016-2019</w:t>
            </w:r>
            <w:r>
              <w:rPr>
                <w:rFonts w:hint="eastAsia" w:eastAsia="仿宋_GB2312" w:cs="Times New Roman"/>
                <w:kern w:val="0"/>
                <w:sz w:val="21"/>
                <w:szCs w:val="21"/>
              </w:rPr>
              <w:t>年</w:t>
            </w:r>
          </w:p>
        </w:tc>
        <w:tc>
          <w:tcPr>
            <w:tcW w:w="82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香河县政府</w:t>
            </w:r>
          </w:p>
        </w:tc>
        <w:tc>
          <w:tcPr>
            <w:tcW w:w="3981" w:type="dxa"/>
            <w:gridSpan w:val="2"/>
            <w:vAlign w:val="center"/>
          </w:tcPr>
          <w:p>
            <w:pPr>
              <w:snapToGrid w:val="0"/>
              <w:spacing w:line="240" w:lineRule="auto"/>
              <w:ind w:firstLine="0" w:firstLineChars="0"/>
              <w:rPr>
                <w:rFonts w:eastAsia="仿宋_GB2312" w:cs="Times New Roman"/>
                <w:spacing w:val="-6"/>
                <w:kern w:val="0"/>
                <w:sz w:val="21"/>
                <w:szCs w:val="21"/>
              </w:rPr>
            </w:pPr>
            <w:r>
              <w:rPr>
                <w:rFonts w:eastAsia="仿宋_GB2312" w:cs="Times New Roman"/>
                <w:spacing w:val="-6"/>
                <w:kern w:val="0"/>
                <w:sz w:val="21"/>
                <w:szCs w:val="21"/>
              </w:rPr>
              <w:t>项目在香河县安平镇建设3万吨污水处理厂尾水湿地深度净化工程，进一步深度处理安平镇安平污水厂尾水，工程采用“生态砾石床工艺”，进水指标为《城镇污水处理厂污染物排放标准》（GB 18918 - 2002）一级A，出水水质可达到《地表水环境质量标准》（GB 3838-2002）中V类水体质量标准，最终汇入北运河。根据安平污水厂工程实际，实际工程设计处理水量由方案中的3万吨/天更改为1.5万吨/天。</w:t>
            </w:r>
          </w:p>
        </w:tc>
        <w:tc>
          <w:tcPr>
            <w:tcW w:w="867"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9000</w:t>
            </w:r>
          </w:p>
        </w:tc>
        <w:tc>
          <w:tcPr>
            <w:tcW w:w="909"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小友垡、北运河</w:t>
            </w:r>
          </w:p>
        </w:tc>
        <w:tc>
          <w:tcPr>
            <w:tcW w:w="620" w:type="dxa"/>
            <w:vAlign w:val="center"/>
          </w:tcPr>
          <w:p>
            <w:pPr>
              <w:adjustRightInd w:val="0"/>
              <w:snapToGrid w:val="0"/>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6" w:type="dxa"/>
            <w:bottom w:w="0" w:type="dxa"/>
            <w:right w:w="6" w:type="dxa"/>
          </w:tblCellMar>
        </w:tblPrEx>
        <w:trPr>
          <w:trHeight w:val="1128" w:hRule="atLeast"/>
        </w:trPr>
        <w:tc>
          <w:tcPr>
            <w:tcW w:w="45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725" w:type="dxa"/>
            <w:gridSpan w:val="2"/>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香河县</w:t>
            </w:r>
          </w:p>
        </w:tc>
        <w:tc>
          <w:tcPr>
            <w:tcW w:w="1036"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农村生活源治理类项目</w:t>
            </w:r>
          </w:p>
        </w:tc>
        <w:tc>
          <w:tcPr>
            <w:tcW w:w="1646" w:type="dxa"/>
            <w:gridSpan w:val="2"/>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北运河沿线农村垃圾收运系统建设</w:t>
            </w:r>
          </w:p>
        </w:tc>
        <w:tc>
          <w:tcPr>
            <w:tcW w:w="925"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香河县安平镇、淑阳镇、钳屯镇</w:t>
            </w:r>
          </w:p>
        </w:tc>
        <w:tc>
          <w:tcPr>
            <w:tcW w:w="1267" w:type="dxa"/>
            <w:gridSpan w:val="2"/>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2016-2019</w:t>
            </w:r>
            <w:r>
              <w:rPr>
                <w:rFonts w:hint="eastAsia" w:eastAsia="仿宋_GB2312" w:cs="Times New Roman"/>
                <w:kern w:val="0"/>
                <w:sz w:val="21"/>
                <w:szCs w:val="21"/>
              </w:rPr>
              <w:t>年</w:t>
            </w:r>
          </w:p>
        </w:tc>
        <w:tc>
          <w:tcPr>
            <w:tcW w:w="82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香河县政府</w:t>
            </w:r>
          </w:p>
        </w:tc>
        <w:tc>
          <w:tcPr>
            <w:tcW w:w="3981" w:type="dxa"/>
            <w:gridSpan w:val="2"/>
            <w:vAlign w:val="center"/>
          </w:tcPr>
          <w:p>
            <w:pPr>
              <w:snapToGrid w:val="0"/>
              <w:spacing w:line="240" w:lineRule="auto"/>
              <w:ind w:firstLine="0" w:firstLineChars="0"/>
              <w:rPr>
                <w:rFonts w:eastAsia="仿宋_GB2312" w:cs="Times New Roman"/>
                <w:spacing w:val="-6"/>
                <w:kern w:val="0"/>
                <w:sz w:val="21"/>
                <w:szCs w:val="21"/>
              </w:rPr>
            </w:pPr>
            <w:r>
              <w:rPr>
                <w:rFonts w:eastAsia="仿宋_GB2312" w:cs="Times New Roman"/>
                <w:spacing w:val="-6"/>
                <w:kern w:val="0"/>
                <w:sz w:val="21"/>
                <w:szCs w:val="21"/>
              </w:rPr>
              <w:t>项目为在北运河沿线安平镇、淑阳镇、钳屯镇等乡镇农村垃圾收运系统建设，覆盖面积3.2km</w:t>
            </w:r>
            <w:r>
              <w:rPr>
                <w:rFonts w:eastAsia="仿宋_GB2312" w:cs="Times New Roman"/>
                <w:spacing w:val="-6"/>
                <w:kern w:val="0"/>
                <w:sz w:val="21"/>
                <w:szCs w:val="21"/>
                <w:vertAlign w:val="superscript"/>
              </w:rPr>
              <w:t>2</w:t>
            </w:r>
            <w:r>
              <w:rPr>
                <w:rFonts w:eastAsia="仿宋_GB2312" w:cs="Times New Roman"/>
                <w:spacing w:val="-6"/>
                <w:kern w:val="0"/>
                <w:sz w:val="21"/>
                <w:szCs w:val="21"/>
              </w:rPr>
              <w:t>。截止2018年底，已全部建成。</w:t>
            </w:r>
          </w:p>
        </w:tc>
        <w:tc>
          <w:tcPr>
            <w:tcW w:w="867"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1000</w:t>
            </w:r>
          </w:p>
        </w:tc>
        <w:tc>
          <w:tcPr>
            <w:tcW w:w="909"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小友垡、凤港减河和北运河</w:t>
            </w:r>
          </w:p>
        </w:tc>
        <w:tc>
          <w:tcPr>
            <w:tcW w:w="620" w:type="dxa"/>
            <w:vAlign w:val="center"/>
          </w:tcPr>
          <w:p>
            <w:pPr>
              <w:snapToGrid w:val="0"/>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6" w:type="dxa"/>
            <w:bottom w:w="0" w:type="dxa"/>
            <w:right w:w="6" w:type="dxa"/>
          </w:tblCellMar>
        </w:tblPrEx>
        <w:trPr>
          <w:trHeight w:val="20" w:hRule="atLeast"/>
        </w:trPr>
        <w:tc>
          <w:tcPr>
            <w:tcW w:w="13254" w:type="dxa"/>
            <w:gridSpan w:val="15"/>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2</w:t>
            </w:r>
            <w:r>
              <w:rPr>
                <w:rFonts w:hint="eastAsia" w:eastAsia="仿宋_GB2312" w:cs="Times New Roman"/>
                <w:b/>
                <w:kern w:val="0"/>
                <w:sz w:val="21"/>
                <w:szCs w:val="21"/>
              </w:rPr>
              <w:t>-</w:t>
            </w:r>
            <w:r>
              <w:rPr>
                <w:rFonts w:eastAsia="仿宋_GB2312" w:cs="Times New Roman"/>
                <w:b/>
                <w:kern w:val="0"/>
                <w:sz w:val="21"/>
                <w:szCs w:val="21"/>
              </w:rPr>
              <w:t>环境监管能力建设项目小计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6" w:type="dxa"/>
            <w:bottom w:w="0" w:type="dxa"/>
            <w:right w:w="6" w:type="dxa"/>
          </w:tblCellMar>
        </w:tblPrEx>
        <w:trPr>
          <w:trHeight w:val="890" w:hRule="atLeast"/>
        </w:trPr>
        <w:tc>
          <w:tcPr>
            <w:tcW w:w="45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711"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tc>
        <w:tc>
          <w:tcPr>
            <w:tcW w:w="1050" w:type="dxa"/>
            <w:gridSpan w:val="2"/>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环境监管能力建设</w:t>
            </w:r>
          </w:p>
        </w:tc>
        <w:tc>
          <w:tcPr>
            <w:tcW w:w="1633"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香河县凤港减河省界监测断面水质监测能力项目</w:t>
            </w:r>
          </w:p>
        </w:tc>
        <w:tc>
          <w:tcPr>
            <w:tcW w:w="938" w:type="dxa"/>
            <w:gridSpan w:val="2"/>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tc>
        <w:tc>
          <w:tcPr>
            <w:tcW w:w="1254"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2016-2018</w:t>
            </w:r>
            <w:r>
              <w:rPr>
                <w:rFonts w:hint="eastAsia" w:eastAsia="仿宋_GB2312" w:cs="Times New Roman"/>
                <w:kern w:val="0"/>
                <w:sz w:val="21"/>
                <w:szCs w:val="21"/>
              </w:rPr>
              <w:t>年</w:t>
            </w:r>
          </w:p>
        </w:tc>
        <w:tc>
          <w:tcPr>
            <w:tcW w:w="850" w:type="dxa"/>
            <w:gridSpan w:val="3"/>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香河县政府</w:t>
            </w:r>
          </w:p>
        </w:tc>
        <w:tc>
          <w:tcPr>
            <w:tcW w:w="3968"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监测凤港减河上游来水水质情况</w:t>
            </w:r>
          </w:p>
        </w:tc>
        <w:tc>
          <w:tcPr>
            <w:tcW w:w="867"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150</w:t>
            </w:r>
          </w:p>
        </w:tc>
        <w:tc>
          <w:tcPr>
            <w:tcW w:w="909"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凤港减</w:t>
            </w:r>
          </w:p>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北运河</w:t>
            </w:r>
          </w:p>
        </w:tc>
        <w:tc>
          <w:tcPr>
            <w:tcW w:w="620" w:type="dxa"/>
            <w:vAlign w:val="center"/>
          </w:tcPr>
          <w:p>
            <w:pPr>
              <w:snapToGrid w:val="0"/>
              <w:spacing w:line="240" w:lineRule="auto"/>
              <w:ind w:firstLine="0" w:firstLineChars="0"/>
              <w:jc w:val="center"/>
              <w:rPr>
                <w:rFonts w:eastAsia="仿宋_GB2312" w:cs="Times New Roman"/>
                <w:kern w:val="0"/>
                <w:sz w:val="21"/>
                <w:szCs w:val="21"/>
              </w:rPr>
            </w:pPr>
          </w:p>
        </w:tc>
      </w:tr>
    </w:tbl>
    <w:p>
      <w:pPr>
        <w:spacing w:line="14" w:lineRule="exact"/>
        <w:ind w:firstLine="480"/>
        <w:rPr>
          <w:rFonts w:eastAsia="仿宋_GB2312" w:cs="Times New Roman"/>
        </w:rPr>
      </w:pPr>
    </w:p>
    <w:p>
      <w:pPr>
        <w:pStyle w:val="2"/>
        <w:autoSpaceDN w:val="0"/>
        <w:snapToGrid w:val="0"/>
        <w:spacing w:line="360" w:lineRule="auto"/>
        <w:ind w:firstLine="640"/>
        <w:jc w:val="center"/>
        <w:rPr>
          <w:rFonts w:eastAsia="仿宋_GB2312"/>
          <w:bCs w:val="0"/>
          <w:szCs w:val="28"/>
        </w:rPr>
        <w:sectPr>
          <w:footerReference r:id="rId22" w:type="default"/>
          <w:pgSz w:w="16838" w:h="11906" w:orient="landscape"/>
          <w:pgMar w:top="1531" w:right="2098" w:bottom="1531" w:left="1474" w:header="851" w:footer="851" w:gutter="0"/>
          <w:cols w:space="720" w:num="1"/>
          <w:docGrid w:linePitch="312" w:charSpace="0"/>
        </w:sectPr>
      </w:pPr>
    </w:p>
    <w:p>
      <w:pPr>
        <w:pStyle w:val="4"/>
        <w:autoSpaceDN w:val="0"/>
        <w:snapToGrid w:val="0"/>
        <w:spacing w:line="590" w:lineRule="exact"/>
        <w:ind w:firstLine="643"/>
      </w:pPr>
      <w:bookmarkStart w:id="431" w:name="_Toc21720697"/>
      <w:r>
        <w:t>5.3.2未完成工程项目</w:t>
      </w:r>
      <w:bookmarkEnd w:id="430"/>
      <w:bookmarkEnd w:id="431"/>
    </w:p>
    <w:p>
      <w:pPr>
        <w:autoSpaceDN w:val="0"/>
        <w:snapToGrid w:val="0"/>
        <w:spacing w:line="590" w:lineRule="exact"/>
        <w:ind w:firstLine="640"/>
        <w:rPr>
          <w:rFonts w:eastAsia="仿宋_GB2312" w:cs="Times New Roman"/>
          <w:sz w:val="32"/>
          <w:szCs w:val="32"/>
        </w:rPr>
      </w:pPr>
      <w:r>
        <w:rPr>
          <w:rFonts w:eastAsia="仿宋_GB2312" w:cs="Times New Roman"/>
          <w:sz w:val="32"/>
          <w:szCs w:val="32"/>
        </w:rPr>
        <w:t>截止2018年12月，北运河廊坊市控制单元在建或处于前期阶段的工程项目5个（含1项分期建设工程部分未完成），未完成的项目类型中，城镇生活染源治理类项目3项，农村生活源治理类项目1项，</w:t>
      </w:r>
      <w:r>
        <w:rPr>
          <w:rFonts w:eastAsia="仿宋_GB2312" w:cs="Times New Roman"/>
          <w:bCs/>
          <w:sz w:val="32"/>
          <w:szCs w:val="32"/>
        </w:rPr>
        <w:t>生态修复类项目1项。</w:t>
      </w:r>
      <w:r>
        <w:rPr>
          <w:rFonts w:eastAsia="仿宋_GB2312" w:cs="Times New Roman"/>
          <w:sz w:val="32"/>
          <w:szCs w:val="32"/>
        </w:rPr>
        <w:t>未完成工程项目具体情况见表5</w:t>
      </w:r>
      <w:r>
        <w:rPr>
          <w:rFonts w:eastAsia="黑体" w:cs="Times New Roman"/>
          <w:bCs/>
          <w:sz w:val="32"/>
          <w:szCs w:val="32"/>
        </w:rPr>
        <w:t>-</w:t>
      </w:r>
      <w:r>
        <w:rPr>
          <w:rFonts w:eastAsia="仿宋_GB2312" w:cs="Times New Roman"/>
          <w:sz w:val="32"/>
          <w:szCs w:val="32"/>
        </w:rPr>
        <w:t>2。</w:t>
      </w:r>
    </w:p>
    <w:p>
      <w:pPr>
        <w:pStyle w:val="2"/>
        <w:autoSpaceDN w:val="0"/>
        <w:snapToGrid w:val="0"/>
        <w:spacing w:line="360" w:lineRule="auto"/>
        <w:ind w:firstLine="640"/>
        <w:jc w:val="center"/>
        <w:rPr>
          <w:rFonts w:eastAsia="仿宋_GB2312"/>
          <w:bCs w:val="0"/>
          <w:szCs w:val="28"/>
        </w:rPr>
        <w:sectPr>
          <w:footerReference r:id="rId23" w:type="even"/>
          <w:pgSz w:w="11906" w:h="16838"/>
          <w:pgMar w:top="1985" w:right="1531" w:bottom="1985" w:left="1531" w:header="851" w:footer="1531" w:gutter="0"/>
          <w:cols w:space="720" w:num="1"/>
          <w:docGrid w:linePitch="312" w:charSpace="0"/>
        </w:sectPr>
      </w:pPr>
    </w:p>
    <w:p>
      <w:pPr>
        <w:autoSpaceDN w:val="0"/>
        <w:spacing w:after="240" w:afterLines="100" w:line="584" w:lineRule="exact"/>
        <w:ind w:firstLine="640"/>
        <w:jc w:val="center"/>
        <w:rPr>
          <w:rFonts w:ascii="黑体" w:hAnsi="黑体" w:eastAsia="黑体" w:cs="Times New Roman"/>
          <w:bCs/>
          <w:sz w:val="32"/>
          <w:szCs w:val="32"/>
        </w:rPr>
      </w:pPr>
      <w:r>
        <w:rPr>
          <w:rFonts w:ascii="黑体" w:hAnsi="黑体" w:eastAsia="黑体" w:cs="Times New Roman"/>
          <w:bCs/>
          <w:sz w:val="32"/>
          <w:szCs w:val="32"/>
        </w:rPr>
        <w:t>表</w:t>
      </w:r>
      <w:r>
        <w:rPr>
          <w:rFonts w:eastAsia="黑体" w:cs="Times New Roman"/>
          <w:bCs/>
          <w:sz w:val="32"/>
          <w:szCs w:val="32"/>
        </w:rPr>
        <w:t>5-2</w:t>
      </w:r>
      <w:r>
        <w:rPr>
          <w:rFonts w:ascii="黑体" w:hAnsi="黑体" w:eastAsia="黑体" w:cs="Times New Roman"/>
          <w:bCs/>
          <w:sz w:val="32"/>
          <w:szCs w:val="32"/>
        </w:rPr>
        <w:t xml:space="preserve"> 未完成工程项目清单</w:t>
      </w:r>
    </w:p>
    <w:tbl>
      <w:tblPr>
        <w:tblStyle w:val="9"/>
        <w:tblW w:w="13110" w:type="dxa"/>
        <w:jc w:val="center"/>
        <w:tblInd w:w="-171" w:type="dxa"/>
        <w:tblLayout w:type="fixed"/>
        <w:tblCellMar>
          <w:top w:w="0" w:type="dxa"/>
          <w:left w:w="11" w:type="dxa"/>
          <w:bottom w:w="0" w:type="dxa"/>
          <w:right w:w="11" w:type="dxa"/>
        </w:tblCellMar>
      </w:tblPr>
      <w:tblGrid>
        <w:gridCol w:w="596"/>
        <w:gridCol w:w="692"/>
        <w:gridCol w:w="1129"/>
        <w:gridCol w:w="1338"/>
        <w:gridCol w:w="933"/>
        <w:gridCol w:w="1310"/>
        <w:gridCol w:w="1214"/>
        <w:gridCol w:w="3713"/>
        <w:gridCol w:w="790"/>
        <w:gridCol w:w="764"/>
        <w:gridCol w:w="631"/>
      </w:tblGrid>
      <w:tr>
        <w:tblPrEx>
          <w:tblLayout w:type="fixed"/>
          <w:tblCellMar>
            <w:top w:w="0" w:type="dxa"/>
            <w:left w:w="11" w:type="dxa"/>
            <w:bottom w:w="0" w:type="dxa"/>
            <w:right w:w="11" w:type="dxa"/>
          </w:tblCellMar>
        </w:tblPrEx>
        <w:trPr>
          <w:trHeight w:val="838" w:hRule="atLeast"/>
          <w:tblHeader/>
          <w:jc w:val="center"/>
        </w:trPr>
        <w:tc>
          <w:tcPr>
            <w:tcW w:w="596"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序号</w:t>
            </w:r>
          </w:p>
        </w:tc>
        <w:tc>
          <w:tcPr>
            <w:tcW w:w="692"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隶属</w:t>
            </w:r>
          </w:p>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关系</w:t>
            </w:r>
          </w:p>
        </w:tc>
        <w:tc>
          <w:tcPr>
            <w:tcW w:w="1129"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w:t>
            </w:r>
          </w:p>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类型</w:t>
            </w:r>
          </w:p>
        </w:tc>
        <w:tc>
          <w:tcPr>
            <w:tcW w:w="1338"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w:t>
            </w:r>
          </w:p>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名称</w:t>
            </w:r>
          </w:p>
        </w:tc>
        <w:tc>
          <w:tcPr>
            <w:tcW w:w="933"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建设</w:t>
            </w:r>
          </w:p>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地点</w:t>
            </w:r>
          </w:p>
        </w:tc>
        <w:tc>
          <w:tcPr>
            <w:tcW w:w="1310"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建设周期</w:t>
            </w:r>
          </w:p>
        </w:tc>
        <w:tc>
          <w:tcPr>
            <w:tcW w:w="1214"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承担单位</w:t>
            </w:r>
          </w:p>
        </w:tc>
        <w:tc>
          <w:tcPr>
            <w:tcW w:w="3713"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项目建设规模与内容</w:t>
            </w:r>
          </w:p>
        </w:tc>
        <w:tc>
          <w:tcPr>
            <w:tcW w:w="790"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总投资</w:t>
            </w:r>
          </w:p>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（万元）</w:t>
            </w:r>
          </w:p>
        </w:tc>
        <w:tc>
          <w:tcPr>
            <w:tcW w:w="764"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关联</w:t>
            </w:r>
          </w:p>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水体</w:t>
            </w:r>
          </w:p>
        </w:tc>
        <w:tc>
          <w:tcPr>
            <w:tcW w:w="631"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备注</w:t>
            </w:r>
          </w:p>
        </w:tc>
      </w:tr>
      <w:tr>
        <w:tblPrEx>
          <w:tblLayout w:type="fixed"/>
          <w:tblCellMar>
            <w:top w:w="0" w:type="dxa"/>
            <w:left w:w="11" w:type="dxa"/>
            <w:bottom w:w="0" w:type="dxa"/>
            <w:right w:w="11" w:type="dxa"/>
          </w:tblCellMar>
        </w:tblPrEx>
        <w:trPr>
          <w:trHeight w:val="425" w:hRule="atLeast"/>
          <w:jc w:val="center"/>
        </w:trPr>
        <w:tc>
          <w:tcPr>
            <w:tcW w:w="13110" w:type="dxa"/>
            <w:gridSpan w:val="11"/>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color w:val="000000"/>
                <w:kern w:val="0"/>
                <w:sz w:val="21"/>
                <w:szCs w:val="21"/>
                <w:highlight w:val="yellow"/>
              </w:rPr>
            </w:pPr>
            <w:r>
              <w:rPr>
                <w:rFonts w:eastAsia="仿宋_GB2312" w:cs="Times New Roman"/>
                <w:b/>
                <w:color w:val="000000"/>
                <w:kern w:val="0"/>
                <w:sz w:val="21"/>
                <w:szCs w:val="21"/>
              </w:rPr>
              <w:t>1</w:t>
            </w:r>
            <w:r>
              <w:rPr>
                <w:rFonts w:hint="eastAsia" w:eastAsia="仿宋_GB2312" w:cs="Times New Roman"/>
                <w:b/>
                <w:color w:val="000000"/>
                <w:kern w:val="0"/>
                <w:sz w:val="21"/>
                <w:szCs w:val="21"/>
              </w:rPr>
              <w:t>-</w:t>
            </w:r>
            <w:r>
              <w:rPr>
                <w:rFonts w:eastAsia="仿宋_GB2312" w:cs="Times New Roman"/>
                <w:b/>
                <w:color w:val="000000"/>
                <w:kern w:val="0"/>
                <w:sz w:val="21"/>
                <w:szCs w:val="21"/>
              </w:rPr>
              <w:t>流域污染源治理类项目小计</w:t>
            </w:r>
          </w:p>
        </w:tc>
      </w:tr>
      <w:tr>
        <w:tblPrEx>
          <w:tblLayout w:type="fixed"/>
          <w:tblCellMar>
            <w:top w:w="0" w:type="dxa"/>
            <w:left w:w="11" w:type="dxa"/>
            <w:bottom w:w="0" w:type="dxa"/>
            <w:right w:w="11" w:type="dxa"/>
          </w:tblCellMar>
        </w:tblPrEx>
        <w:trPr>
          <w:trHeight w:val="1211" w:hRule="atLeast"/>
          <w:jc w:val="center"/>
        </w:trPr>
        <w:tc>
          <w:tcPr>
            <w:tcW w:w="596"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w:t>
            </w:r>
          </w:p>
        </w:tc>
        <w:tc>
          <w:tcPr>
            <w:tcW w:w="692" w:type="dxa"/>
            <w:tcBorders>
              <w:top w:val="nil"/>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tc>
        <w:tc>
          <w:tcPr>
            <w:tcW w:w="1129" w:type="dxa"/>
            <w:tcBorders>
              <w:top w:val="nil"/>
              <w:left w:val="nil"/>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污水处理厂及配套管网建设</w:t>
            </w:r>
          </w:p>
        </w:tc>
        <w:tc>
          <w:tcPr>
            <w:tcW w:w="1338" w:type="dxa"/>
            <w:tcBorders>
              <w:top w:val="nil"/>
              <w:left w:val="nil"/>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安平污水厂一期工艺改造及二期建设</w:t>
            </w:r>
          </w:p>
        </w:tc>
        <w:tc>
          <w:tcPr>
            <w:tcW w:w="933" w:type="dxa"/>
            <w:tcBorders>
              <w:top w:val="nil"/>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安平镇</w:t>
            </w:r>
          </w:p>
        </w:tc>
        <w:tc>
          <w:tcPr>
            <w:tcW w:w="1310" w:type="dxa"/>
            <w:tcBorders>
              <w:top w:val="nil"/>
              <w:left w:val="nil"/>
              <w:bottom w:val="single" w:color="auto" w:sz="4" w:space="0"/>
              <w:right w:val="single" w:color="auto" w:sz="4" w:space="0"/>
            </w:tcBorders>
            <w:vAlign w:val="center"/>
          </w:tcPr>
          <w:p>
            <w:pPr>
              <w:autoSpaceDN w:val="0"/>
              <w:snapToGrid w:val="0"/>
              <w:spacing w:line="240" w:lineRule="auto"/>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2016—2020</w:t>
            </w:r>
            <w:r>
              <w:rPr>
                <w:rFonts w:hint="eastAsia" w:eastAsia="仿宋_GB2312" w:cs="Times New Roman"/>
                <w:color w:val="000000"/>
                <w:kern w:val="0"/>
                <w:sz w:val="21"/>
                <w:szCs w:val="21"/>
              </w:rPr>
              <w:t>年</w:t>
            </w:r>
          </w:p>
        </w:tc>
        <w:tc>
          <w:tcPr>
            <w:tcW w:w="1214" w:type="dxa"/>
            <w:tcBorders>
              <w:top w:val="nil"/>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香河县政府</w:t>
            </w:r>
          </w:p>
        </w:tc>
        <w:tc>
          <w:tcPr>
            <w:tcW w:w="3713" w:type="dxa"/>
            <w:tcBorders>
              <w:top w:val="nil"/>
              <w:left w:val="nil"/>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安平污水厂二期1.5万吨建设工程</w:t>
            </w:r>
          </w:p>
        </w:tc>
        <w:tc>
          <w:tcPr>
            <w:tcW w:w="790" w:type="dxa"/>
            <w:tcBorders>
              <w:top w:val="nil"/>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7500</w:t>
            </w:r>
          </w:p>
        </w:tc>
        <w:tc>
          <w:tcPr>
            <w:tcW w:w="764" w:type="dxa"/>
            <w:tcBorders>
              <w:top w:val="nil"/>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小友垡</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北运河</w:t>
            </w:r>
          </w:p>
        </w:tc>
        <w:tc>
          <w:tcPr>
            <w:tcW w:w="631" w:type="dxa"/>
            <w:tcBorders>
              <w:top w:val="nil"/>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highlight w:val="yellow"/>
              </w:rPr>
            </w:pPr>
          </w:p>
        </w:tc>
      </w:tr>
      <w:tr>
        <w:tblPrEx>
          <w:tblLayout w:type="fixed"/>
          <w:tblCellMar>
            <w:top w:w="0" w:type="dxa"/>
            <w:left w:w="11" w:type="dxa"/>
            <w:bottom w:w="0" w:type="dxa"/>
            <w:right w:w="11" w:type="dxa"/>
          </w:tblCellMar>
        </w:tblPrEx>
        <w:trPr>
          <w:trHeight w:val="1227" w:hRule="atLeast"/>
          <w:jc w:val="center"/>
        </w:trPr>
        <w:tc>
          <w:tcPr>
            <w:tcW w:w="596"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w:t>
            </w:r>
          </w:p>
        </w:tc>
        <w:tc>
          <w:tcPr>
            <w:tcW w:w="692"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tc>
        <w:tc>
          <w:tcPr>
            <w:tcW w:w="1129"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农村生活源污染治理</w:t>
            </w:r>
          </w:p>
        </w:tc>
        <w:tc>
          <w:tcPr>
            <w:tcW w:w="1338"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北运河沿线农村污水处理</w:t>
            </w:r>
          </w:p>
        </w:tc>
        <w:tc>
          <w:tcPr>
            <w:tcW w:w="933"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香河县安平镇、淑阳镇、钳屯镇</w:t>
            </w:r>
          </w:p>
        </w:tc>
        <w:tc>
          <w:tcPr>
            <w:tcW w:w="1310"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2016-2018</w:t>
            </w:r>
            <w:r>
              <w:rPr>
                <w:rFonts w:hint="eastAsia" w:eastAsia="仿宋_GB2312" w:cs="Times New Roman"/>
                <w:color w:val="000000"/>
                <w:kern w:val="0"/>
                <w:sz w:val="21"/>
                <w:szCs w:val="21"/>
              </w:rPr>
              <w:t>年</w:t>
            </w:r>
          </w:p>
        </w:tc>
        <w:tc>
          <w:tcPr>
            <w:tcW w:w="1214"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香河县政府</w:t>
            </w:r>
          </w:p>
        </w:tc>
        <w:tc>
          <w:tcPr>
            <w:tcW w:w="3713"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项目规划在北运河沿线农村安平镇、淑阳镇、钳屯镇等农村聚集区建设污水处理设施，总处理规模约3500t/d。</w:t>
            </w:r>
          </w:p>
        </w:tc>
        <w:tc>
          <w:tcPr>
            <w:tcW w:w="790"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2500</w:t>
            </w:r>
          </w:p>
        </w:tc>
        <w:tc>
          <w:tcPr>
            <w:tcW w:w="764"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凤港减</w:t>
            </w:r>
          </w:p>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北运河</w:t>
            </w:r>
          </w:p>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小友垡</w:t>
            </w:r>
          </w:p>
        </w:tc>
        <w:tc>
          <w:tcPr>
            <w:tcW w:w="631"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color w:val="000000"/>
                <w:kern w:val="0"/>
                <w:sz w:val="21"/>
                <w:szCs w:val="21"/>
              </w:rPr>
            </w:pPr>
          </w:p>
        </w:tc>
      </w:tr>
      <w:tr>
        <w:tblPrEx>
          <w:tblLayout w:type="fixed"/>
          <w:tblCellMar>
            <w:top w:w="0" w:type="dxa"/>
            <w:left w:w="11" w:type="dxa"/>
            <w:bottom w:w="0" w:type="dxa"/>
            <w:right w:w="11" w:type="dxa"/>
          </w:tblCellMar>
        </w:tblPrEx>
        <w:trPr>
          <w:trHeight w:val="1125" w:hRule="atLeast"/>
          <w:jc w:val="center"/>
        </w:trPr>
        <w:tc>
          <w:tcPr>
            <w:tcW w:w="596"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w:t>
            </w:r>
          </w:p>
        </w:tc>
        <w:tc>
          <w:tcPr>
            <w:tcW w:w="692"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tc>
        <w:tc>
          <w:tcPr>
            <w:tcW w:w="1129"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污水处理厂及配套管网建设</w:t>
            </w:r>
          </w:p>
        </w:tc>
        <w:tc>
          <w:tcPr>
            <w:tcW w:w="1338"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安平镇雨污分流管网及初雨截留系统建设</w:t>
            </w:r>
          </w:p>
        </w:tc>
        <w:tc>
          <w:tcPr>
            <w:tcW w:w="933"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安平镇</w:t>
            </w:r>
          </w:p>
        </w:tc>
        <w:tc>
          <w:tcPr>
            <w:tcW w:w="1310"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2016—2019</w:t>
            </w:r>
            <w:r>
              <w:rPr>
                <w:rFonts w:hint="eastAsia" w:eastAsia="仿宋_GB2312" w:cs="Times New Roman"/>
                <w:color w:val="000000"/>
                <w:kern w:val="0"/>
                <w:sz w:val="21"/>
                <w:szCs w:val="21"/>
              </w:rPr>
              <w:t>年</w:t>
            </w:r>
          </w:p>
        </w:tc>
        <w:tc>
          <w:tcPr>
            <w:tcW w:w="1214"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香河县政府</w:t>
            </w:r>
          </w:p>
        </w:tc>
        <w:tc>
          <w:tcPr>
            <w:tcW w:w="3713"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安平污水厂配套污水管网及安平镇雨水管网建设，管网总长度约124.5km</w:t>
            </w:r>
          </w:p>
        </w:tc>
        <w:tc>
          <w:tcPr>
            <w:tcW w:w="790"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50000</w:t>
            </w:r>
          </w:p>
        </w:tc>
        <w:tc>
          <w:tcPr>
            <w:tcW w:w="764"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小友垡</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北运河</w:t>
            </w:r>
          </w:p>
        </w:tc>
        <w:tc>
          <w:tcPr>
            <w:tcW w:w="631"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p>
        </w:tc>
      </w:tr>
      <w:tr>
        <w:tblPrEx>
          <w:tblLayout w:type="fixed"/>
          <w:tblCellMar>
            <w:top w:w="0" w:type="dxa"/>
            <w:left w:w="11" w:type="dxa"/>
            <w:bottom w:w="0" w:type="dxa"/>
            <w:right w:w="11" w:type="dxa"/>
          </w:tblCellMar>
        </w:tblPrEx>
        <w:trPr>
          <w:trHeight w:val="1255" w:hRule="atLeast"/>
          <w:jc w:val="center"/>
        </w:trPr>
        <w:tc>
          <w:tcPr>
            <w:tcW w:w="596"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w:t>
            </w:r>
          </w:p>
        </w:tc>
        <w:tc>
          <w:tcPr>
            <w:tcW w:w="692"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tc>
        <w:tc>
          <w:tcPr>
            <w:tcW w:w="1129"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污水处理厂及配套管网建设</w:t>
            </w:r>
          </w:p>
        </w:tc>
        <w:tc>
          <w:tcPr>
            <w:tcW w:w="1338"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北运河东-香河县运河大道区域分流制管网建设</w:t>
            </w:r>
          </w:p>
        </w:tc>
        <w:tc>
          <w:tcPr>
            <w:tcW w:w="933"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香河县淑阳镇、钳屯镇</w:t>
            </w:r>
          </w:p>
        </w:tc>
        <w:tc>
          <w:tcPr>
            <w:tcW w:w="1310"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2016—2019</w:t>
            </w:r>
            <w:r>
              <w:rPr>
                <w:rFonts w:hint="eastAsia" w:eastAsia="仿宋_GB2312" w:cs="Times New Roman"/>
                <w:color w:val="000000"/>
                <w:kern w:val="0"/>
                <w:sz w:val="21"/>
                <w:szCs w:val="21"/>
              </w:rPr>
              <w:t>年</w:t>
            </w:r>
          </w:p>
        </w:tc>
        <w:tc>
          <w:tcPr>
            <w:tcW w:w="1214"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香河县政府</w:t>
            </w:r>
          </w:p>
        </w:tc>
        <w:tc>
          <w:tcPr>
            <w:tcW w:w="3713"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北运河东—香河县运河大道区域分流制管网建设，管网总长度约12km</w:t>
            </w:r>
          </w:p>
        </w:tc>
        <w:tc>
          <w:tcPr>
            <w:tcW w:w="790"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4200</w:t>
            </w:r>
          </w:p>
        </w:tc>
        <w:tc>
          <w:tcPr>
            <w:tcW w:w="764"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香五渠</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北运河</w:t>
            </w:r>
          </w:p>
        </w:tc>
        <w:tc>
          <w:tcPr>
            <w:tcW w:w="631"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highlight w:val="yellow"/>
              </w:rPr>
            </w:pPr>
          </w:p>
        </w:tc>
      </w:tr>
      <w:tr>
        <w:tblPrEx>
          <w:tblLayout w:type="fixed"/>
          <w:tblCellMar>
            <w:top w:w="0" w:type="dxa"/>
            <w:left w:w="11" w:type="dxa"/>
            <w:bottom w:w="0" w:type="dxa"/>
            <w:right w:w="11" w:type="dxa"/>
          </w:tblCellMar>
        </w:tblPrEx>
        <w:trPr>
          <w:trHeight w:val="416" w:hRule="atLeast"/>
          <w:jc w:val="center"/>
        </w:trPr>
        <w:tc>
          <w:tcPr>
            <w:tcW w:w="13110" w:type="dxa"/>
            <w:gridSpan w:val="11"/>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2</w:t>
            </w:r>
            <w:r>
              <w:rPr>
                <w:rFonts w:hint="eastAsia" w:eastAsia="仿宋_GB2312" w:cs="Times New Roman"/>
                <w:b/>
                <w:color w:val="000000"/>
                <w:kern w:val="0"/>
                <w:sz w:val="21"/>
                <w:szCs w:val="21"/>
              </w:rPr>
              <w:t>-</w:t>
            </w:r>
            <w:r>
              <w:rPr>
                <w:rFonts w:eastAsia="仿宋_GB2312" w:cs="Times New Roman"/>
                <w:b/>
                <w:color w:val="000000"/>
                <w:kern w:val="0"/>
                <w:sz w:val="21"/>
                <w:szCs w:val="21"/>
              </w:rPr>
              <w:t>流域生态修复与保护类项目小计</w:t>
            </w:r>
          </w:p>
        </w:tc>
      </w:tr>
      <w:tr>
        <w:tblPrEx>
          <w:tblLayout w:type="fixed"/>
          <w:tblCellMar>
            <w:top w:w="0" w:type="dxa"/>
            <w:left w:w="11" w:type="dxa"/>
            <w:bottom w:w="0" w:type="dxa"/>
            <w:right w:w="11" w:type="dxa"/>
          </w:tblCellMar>
        </w:tblPrEx>
        <w:trPr>
          <w:trHeight w:val="1370" w:hRule="atLeast"/>
          <w:jc w:val="center"/>
        </w:trPr>
        <w:tc>
          <w:tcPr>
            <w:tcW w:w="596"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w:t>
            </w:r>
          </w:p>
        </w:tc>
        <w:tc>
          <w:tcPr>
            <w:tcW w:w="692"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tc>
        <w:tc>
          <w:tcPr>
            <w:tcW w:w="1129"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人工湿地建设</w:t>
            </w:r>
          </w:p>
        </w:tc>
        <w:tc>
          <w:tcPr>
            <w:tcW w:w="1338"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凤港减河河口湿地建设</w:t>
            </w:r>
          </w:p>
        </w:tc>
        <w:tc>
          <w:tcPr>
            <w:tcW w:w="933"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安平镇</w:t>
            </w:r>
          </w:p>
        </w:tc>
        <w:tc>
          <w:tcPr>
            <w:tcW w:w="1310"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2018-2019</w:t>
            </w:r>
            <w:r>
              <w:rPr>
                <w:rFonts w:hint="eastAsia" w:eastAsia="仿宋_GB2312" w:cs="Times New Roman"/>
                <w:color w:val="000000"/>
                <w:kern w:val="0"/>
                <w:sz w:val="21"/>
                <w:szCs w:val="21"/>
              </w:rPr>
              <w:t>年</w:t>
            </w:r>
          </w:p>
        </w:tc>
        <w:tc>
          <w:tcPr>
            <w:tcW w:w="1214"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香河县政府</w:t>
            </w:r>
          </w:p>
        </w:tc>
        <w:tc>
          <w:tcPr>
            <w:tcW w:w="3713"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项目拟在在香河县安平镇建设凤港减河河口湿地，项目作为拟建城市湿地公园的重要景观，兼具去除凤港减河水质COD、氨氮、总磷的生态功能</w:t>
            </w:r>
          </w:p>
        </w:tc>
        <w:tc>
          <w:tcPr>
            <w:tcW w:w="790"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18000</w:t>
            </w:r>
          </w:p>
        </w:tc>
        <w:tc>
          <w:tcPr>
            <w:tcW w:w="764"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凤港减</w:t>
            </w:r>
          </w:p>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北运河</w:t>
            </w:r>
          </w:p>
        </w:tc>
        <w:tc>
          <w:tcPr>
            <w:tcW w:w="631" w:type="dxa"/>
            <w:tcBorders>
              <w:top w:val="single" w:color="auto" w:sz="4" w:space="0"/>
              <w:left w:val="nil"/>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color w:val="000000"/>
                <w:kern w:val="0"/>
                <w:sz w:val="21"/>
                <w:szCs w:val="21"/>
                <w:highlight w:val="yellow"/>
              </w:rPr>
            </w:pPr>
          </w:p>
        </w:tc>
      </w:tr>
    </w:tbl>
    <w:p>
      <w:pPr>
        <w:pStyle w:val="2"/>
        <w:autoSpaceDN w:val="0"/>
        <w:snapToGrid w:val="0"/>
        <w:spacing w:line="14" w:lineRule="exact"/>
        <w:ind w:firstLine="0" w:firstLineChars="0"/>
        <w:rPr>
          <w:rFonts w:hint="eastAsia" w:eastAsia="仿宋_GB2312"/>
          <w:bCs w:val="0"/>
          <w:szCs w:val="28"/>
        </w:rPr>
        <w:sectPr>
          <w:footerReference r:id="rId24" w:type="default"/>
          <w:pgSz w:w="16838" w:h="11906" w:orient="landscape"/>
          <w:pgMar w:top="1531" w:right="2098" w:bottom="1531" w:left="1474" w:header="851" w:footer="851" w:gutter="0"/>
          <w:cols w:space="720" w:num="1"/>
          <w:docGrid w:linePitch="312" w:charSpace="0"/>
        </w:sectPr>
      </w:pPr>
    </w:p>
    <w:p>
      <w:pPr>
        <w:pStyle w:val="4"/>
        <w:autoSpaceDN w:val="0"/>
        <w:adjustRightInd w:val="0"/>
        <w:snapToGrid w:val="0"/>
        <w:spacing w:line="590" w:lineRule="exact"/>
        <w:ind w:firstLine="643"/>
      </w:pPr>
      <w:bookmarkStart w:id="432" w:name="_Toc21720698"/>
      <w:r>
        <w:t>5.3.3拟取消工程项目</w:t>
      </w:r>
      <w:bookmarkEnd w:id="432"/>
    </w:p>
    <w:p>
      <w:pPr>
        <w:adjustRightInd w:val="0"/>
        <w:snapToGrid w:val="0"/>
        <w:spacing w:line="590" w:lineRule="exact"/>
        <w:ind w:firstLine="640"/>
        <w:rPr>
          <w:rFonts w:eastAsia="仿宋_GB2312" w:cs="Times New Roman"/>
          <w:sz w:val="32"/>
          <w:szCs w:val="32"/>
        </w:rPr>
      </w:pPr>
      <w:r>
        <w:rPr>
          <w:rFonts w:eastAsia="仿宋_GB2312" w:cs="Times New Roman"/>
          <w:color w:val="000000"/>
          <w:sz w:val="32"/>
          <w:szCs w:val="32"/>
        </w:rPr>
        <w:t>由于现状因素等条件变化，原达标方案中部分工程已不具备实施必要性，</w:t>
      </w:r>
      <w:r>
        <w:rPr>
          <w:rFonts w:eastAsia="仿宋_GB2312" w:cs="Times New Roman"/>
          <w:sz w:val="32"/>
          <w:szCs w:val="32"/>
        </w:rPr>
        <w:t>根据实际需要，拟取消原方案中规划的北运河廊坊市控制单元内城镇污水处理厂建设项目（安平污水厂二期建设项目）、</w:t>
      </w:r>
      <w:r>
        <w:rPr>
          <w:rFonts w:eastAsia="仿宋_GB2312" w:cs="Times New Roman"/>
          <w:bCs/>
          <w:sz w:val="32"/>
          <w:szCs w:val="32"/>
        </w:rPr>
        <w:t>污水管网建设工程项目（北运河东</w:t>
      </w:r>
      <w:r>
        <w:rPr>
          <w:rFonts w:hint="eastAsia" w:ascii="黑体" w:hAnsi="黑体" w:eastAsia="黑体" w:cs="Times New Roman"/>
          <w:bCs/>
          <w:sz w:val="32"/>
          <w:szCs w:val="32"/>
        </w:rPr>
        <w:t>-</w:t>
      </w:r>
      <w:r>
        <w:rPr>
          <w:rFonts w:eastAsia="仿宋_GB2312" w:cs="Times New Roman"/>
          <w:bCs/>
          <w:sz w:val="32"/>
          <w:szCs w:val="32"/>
        </w:rPr>
        <w:t>香河县运河大道区域分流制管网建设项目）、人工湿地建设项目（凤港减河河口湿地建设项目）各1项</w:t>
      </w:r>
      <w:r>
        <w:rPr>
          <w:rFonts w:eastAsia="仿宋_GB2312" w:cs="Times New Roman"/>
          <w:sz w:val="32"/>
          <w:szCs w:val="32"/>
        </w:rPr>
        <w:t>，</w:t>
      </w:r>
      <w:r>
        <w:rPr>
          <w:rFonts w:eastAsia="仿宋_GB2312" w:cs="Times New Roman"/>
          <w:color w:val="000000"/>
          <w:sz w:val="32"/>
          <w:szCs w:val="32"/>
        </w:rPr>
        <w:t>主要原因如下。</w:t>
      </w:r>
    </w:p>
    <w:p>
      <w:pPr>
        <w:adjustRightInd w:val="0"/>
        <w:snapToGrid w:val="0"/>
        <w:spacing w:line="590" w:lineRule="exact"/>
        <w:ind w:firstLine="643"/>
        <w:rPr>
          <w:rFonts w:eastAsia="仿宋_GB2312" w:cs="Times New Roman"/>
          <w:b/>
          <w:sz w:val="32"/>
          <w:szCs w:val="32"/>
        </w:rPr>
      </w:pPr>
      <w:r>
        <w:rPr>
          <w:rFonts w:eastAsia="仿宋_GB2312" w:cs="Times New Roman"/>
          <w:b/>
          <w:sz w:val="32"/>
          <w:szCs w:val="32"/>
        </w:rPr>
        <w:t>（1）安平污水厂二期项目</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安平污水厂二期项目建设的初衷是解决安平镇未来镇区发展和人口增加带来的生活污水排放量显著增加，现状安平污水处理厂项目处理能力不够问题。原达标方案建议，在香河县安平镇建设安平污水厂一期1.5万吨污水处理厂工艺提升改造工程，同时建设安平污水厂二期1.5万吨处理能力。原达标方案实施过程中，规划的安平污水处理厂一期1.5万吨/天处理规模工艺改造项目已经完成，出水水质可稳定达到《城镇污水处理厂污染物排放标准》（GB18918</w:t>
      </w:r>
      <w:r>
        <w:rPr>
          <w:rFonts w:hint="eastAsia" w:eastAsia="仿宋_GB2312" w:cs="Times New Roman"/>
          <w:sz w:val="32"/>
          <w:szCs w:val="32"/>
        </w:rPr>
        <w:t>—</w:t>
      </w:r>
      <w:r>
        <w:rPr>
          <w:rFonts w:eastAsia="仿宋_GB2312" w:cs="Times New Roman"/>
          <w:sz w:val="32"/>
          <w:szCs w:val="32"/>
        </w:rPr>
        <w:t>2002）的一级A标准。由于安平镇城镇发展规模限制，目前镇区人口产生的生活污水量较少，安平污水处理厂一期1.5万吨/天已经可以较好的满足现状和未来安平镇生活污水处理需求。根据以上实际情况，拟取消安平污水厂二期1.5万吨/天污水处理设施的建设。</w:t>
      </w:r>
    </w:p>
    <w:p>
      <w:pPr>
        <w:adjustRightInd w:val="0"/>
        <w:snapToGrid w:val="0"/>
        <w:spacing w:line="590" w:lineRule="exact"/>
        <w:ind w:firstLine="643"/>
        <w:rPr>
          <w:rFonts w:eastAsia="仿宋_GB2312" w:cs="Times New Roman"/>
          <w:b/>
          <w:sz w:val="32"/>
          <w:szCs w:val="32"/>
        </w:rPr>
      </w:pPr>
      <w:r>
        <w:rPr>
          <w:rFonts w:eastAsia="仿宋_GB2312" w:cs="Times New Roman"/>
          <w:b/>
          <w:sz w:val="32"/>
          <w:szCs w:val="32"/>
        </w:rPr>
        <w:t>（2）</w:t>
      </w:r>
      <w:r>
        <w:rPr>
          <w:rFonts w:eastAsia="仿宋_GB2312" w:cs="Times New Roman"/>
          <w:b/>
          <w:bCs/>
          <w:sz w:val="32"/>
          <w:szCs w:val="32"/>
        </w:rPr>
        <w:t>北运河东</w:t>
      </w:r>
      <w:r>
        <w:rPr>
          <w:rFonts w:hint="eastAsia" w:eastAsia="仿宋_GB2312" w:cs="Times New Roman"/>
          <w:b/>
          <w:bCs/>
          <w:sz w:val="32"/>
          <w:szCs w:val="32"/>
        </w:rPr>
        <w:t>—</w:t>
      </w:r>
      <w:r>
        <w:rPr>
          <w:rFonts w:eastAsia="仿宋_GB2312" w:cs="Times New Roman"/>
          <w:b/>
          <w:bCs/>
          <w:sz w:val="32"/>
          <w:szCs w:val="32"/>
        </w:rPr>
        <w:t>香河县运河大道区域分流制管网项目</w:t>
      </w:r>
    </w:p>
    <w:p>
      <w:pPr>
        <w:adjustRightInd w:val="0"/>
        <w:snapToGrid w:val="0"/>
        <w:spacing w:line="590" w:lineRule="exact"/>
        <w:ind w:firstLine="640"/>
        <w:rPr>
          <w:rFonts w:eastAsia="仿宋_GB2312" w:cs="Times New Roman"/>
          <w:sz w:val="32"/>
          <w:szCs w:val="32"/>
        </w:rPr>
      </w:pPr>
      <w:r>
        <w:rPr>
          <w:rFonts w:eastAsia="仿宋_GB2312" w:cs="Times New Roman"/>
          <w:bCs/>
          <w:sz w:val="32"/>
          <w:szCs w:val="32"/>
        </w:rPr>
        <w:t>北运河东</w:t>
      </w:r>
      <w:r>
        <w:rPr>
          <w:rFonts w:hint="eastAsia" w:ascii="黑体" w:hAnsi="黑体" w:eastAsia="黑体" w:cs="Times New Roman"/>
          <w:bCs/>
          <w:sz w:val="32"/>
          <w:szCs w:val="32"/>
        </w:rPr>
        <w:t>-</w:t>
      </w:r>
      <w:r>
        <w:rPr>
          <w:rFonts w:eastAsia="仿宋_GB2312" w:cs="Times New Roman"/>
          <w:bCs/>
          <w:sz w:val="32"/>
          <w:szCs w:val="32"/>
        </w:rPr>
        <w:t>香河县运河大道区域分流制管网项目建设的初衷是</w:t>
      </w:r>
      <w:r>
        <w:rPr>
          <w:rFonts w:eastAsia="仿宋_GB2312" w:cs="Times New Roman"/>
          <w:sz w:val="32"/>
          <w:szCs w:val="32"/>
        </w:rPr>
        <w:t>解决淑阳镇、钳屯镇生活污水直接排放问题。原达标方案建议，</w:t>
      </w:r>
      <w:r>
        <w:rPr>
          <w:rFonts w:eastAsia="仿宋_GB2312" w:cs="Times New Roman"/>
          <w:bCs/>
          <w:sz w:val="32"/>
          <w:szCs w:val="32"/>
        </w:rPr>
        <w:t>在香河县淑阳镇、钳屯镇建设北运河东</w:t>
      </w:r>
      <w:r>
        <w:rPr>
          <w:rFonts w:hint="eastAsia" w:ascii="黑体" w:hAnsi="黑体" w:eastAsia="黑体" w:cs="Times New Roman"/>
          <w:bCs/>
          <w:sz w:val="32"/>
          <w:szCs w:val="32"/>
        </w:rPr>
        <w:t>-</w:t>
      </w:r>
      <w:r>
        <w:rPr>
          <w:rFonts w:eastAsia="仿宋_GB2312" w:cs="Times New Roman"/>
          <w:bCs/>
          <w:sz w:val="32"/>
          <w:szCs w:val="32"/>
        </w:rPr>
        <w:t>香河县运河大道区域分流制管网，共建设管网长度12km，将收集的污水送入开发区污</w:t>
      </w:r>
      <w:r>
        <w:rPr>
          <w:rFonts w:eastAsia="仿宋_GB2312" w:cs="Times New Roman"/>
          <w:sz w:val="32"/>
          <w:szCs w:val="32"/>
        </w:rPr>
        <w:t>水厂处理。原达标方案实施过程中，项目规划的北运河沿线</w:t>
      </w:r>
      <w:r>
        <w:rPr>
          <w:rFonts w:eastAsia="仿宋_GB2312" w:cs="Times New Roman"/>
          <w:bCs/>
          <w:sz w:val="32"/>
          <w:szCs w:val="32"/>
        </w:rPr>
        <w:t>周边</w:t>
      </w:r>
      <w:r>
        <w:rPr>
          <w:rFonts w:eastAsia="仿宋_GB2312" w:cs="Times New Roman"/>
          <w:sz w:val="32"/>
          <w:szCs w:val="32"/>
        </w:rPr>
        <w:t>安平镇、淑阳镇、钳屯镇等3个乡镇的鲁家务村、孙家务、陈辛庄、谭庄等村庄污水管网或分散式农村生活污水治理设施已经基本建成，曹店村、张庄等村庄正在开展污水管网建设，剩余管网需随城镇化进程逐步有序推进，不需要单独实施此项目。因此，拟取消该项目的建设。</w:t>
      </w:r>
    </w:p>
    <w:p>
      <w:pPr>
        <w:adjustRightInd w:val="0"/>
        <w:snapToGrid w:val="0"/>
        <w:spacing w:line="590" w:lineRule="exact"/>
        <w:ind w:firstLine="643"/>
        <w:rPr>
          <w:rFonts w:eastAsia="仿宋_GB2312" w:cs="Times New Roman"/>
          <w:b/>
          <w:sz w:val="32"/>
          <w:szCs w:val="32"/>
        </w:rPr>
      </w:pPr>
      <w:r>
        <w:rPr>
          <w:rFonts w:eastAsia="仿宋_GB2312" w:cs="Times New Roman"/>
          <w:b/>
          <w:sz w:val="32"/>
          <w:szCs w:val="32"/>
        </w:rPr>
        <w:t>（3）凤港减河河口湿地建设项目</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香河县安平镇建设凤港减河河口湿地项目初衷主要是在凤港减河河口建设人工湿地，作为拟建城市湿地公园的重要景观，兼具去除凤港减河水质COD、氨氮、总磷的生态功能。因为凤港减河主要来水为北京来水，目前北京来水水质有较大改善，且原规划建设的湿地公园由于PPP项目的停滞，从治污角度考虑，该项目已不具备建设的条件，故建议取消。</w:t>
      </w:r>
    </w:p>
    <w:p>
      <w:pPr>
        <w:adjustRightInd w:val="0"/>
        <w:snapToGrid w:val="0"/>
        <w:spacing w:line="590" w:lineRule="exact"/>
        <w:ind w:firstLine="643"/>
        <w:rPr>
          <w:rFonts w:eastAsia="仿宋_GB2312" w:cs="Times New Roman"/>
          <w:b/>
          <w:sz w:val="32"/>
          <w:szCs w:val="32"/>
        </w:rPr>
      </w:pPr>
      <w:r>
        <w:rPr>
          <w:rFonts w:eastAsia="仿宋_GB2312" w:cs="Times New Roman"/>
          <w:b/>
          <w:sz w:val="32"/>
          <w:szCs w:val="32"/>
        </w:rPr>
        <w:t>（4）北运河沿线农村污水处理工程</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北运河沿线农村污水处理工程拟对安平镇、淑阳镇、钳屯镇等3个乡镇的农村生活污水进行治理。目前，北运河沿线安平镇、淑阳镇、钳屯镇等3个乡镇的鲁家务村、孙家务、陈辛庄、谭庄等村庄污水管网或分散式农村生活污水治理设施已经基本建成，曹店村、张庄等村庄正在开展污水管网建设，剩余管网需随城镇化进程逐步有序推进，部分农村实施了分散污水处理工程，原工程内容已发生改变，故建议取消。</w:t>
      </w:r>
    </w:p>
    <w:p>
      <w:pPr>
        <w:pStyle w:val="2"/>
        <w:autoSpaceDN w:val="0"/>
        <w:adjustRightInd w:val="0"/>
        <w:snapToGrid w:val="0"/>
        <w:spacing w:line="590" w:lineRule="exact"/>
        <w:ind w:firstLine="640"/>
        <w:jc w:val="both"/>
        <w:rPr>
          <w:bCs w:val="0"/>
          <w:kern w:val="2"/>
          <w:szCs w:val="32"/>
        </w:rPr>
      </w:pPr>
      <w:bookmarkStart w:id="433" w:name="_Toc460245361"/>
      <w:bookmarkStart w:id="434" w:name="_Toc21720699"/>
      <w:r>
        <w:rPr>
          <w:bCs w:val="0"/>
          <w:kern w:val="2"/>
          <w:szCs w:val="32"/>
        </w:rPr>
        <w:t>六、流域主要问题识别</w:t>
      </w:r>
      <w:bookmarkEnd w:id="433"/>
      <w:bookmarkEnd w:id="434"/>
    </w:p>
    <w:p>
      <w:pPr>
        <w:pStyle w:val="3"/>
        <w:autoSpaceDN w:val="0"/>
        <w:snapToGrid w:val="0"/>
        <w:spacing w:line="590" w:lineRule="exact"/>
        <w:ind w:firstLine="643"/>
        <w:rPr>
          <w:rFonts w:eastAsia="楷体_GB2312"/>
          <w:bCs w:val="0"/>
        </w:rPr>
      </w:pPr>
      <w:bookmarkStart w:id="435" w:name="_Toc21720700"/>
      <w:bookmarkStart w:id="436" w:name="_Toc460245365"/>
      <w:r>
        <w:rPr>
          <w:rFonts w:eastAsia="楷体_GB2312"/>
          <w:bCs w:val="0"/>
        </w:rPr>
        <w:t>6.1面源污染治理仍需加强</w:t>
      </w:r>
      <w:bookmarkEnd w:id="435"/>
      <w:bookmarkEnd w:id="436"/>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现状</w:t>
      </w:r>
      <w:r>
        <w:rPr>
          <w:rFonts w:eastAsia="仿宋_GB2312" w:cs="Times New Roman"/>
          <w:bCs/>
          <w:sz w:val="32"/>
          <w:szCs w:val="32"/>
        </w:rPr>
        <w:t>北运河堤内及凤港减河沿线有</w:t>
      </w:r>
      <w:r>
        <w:rPr>
          <w:rFonts w:eastAsia="仿宋_GB2312" w:cs="Times New Roman"/>
          <w:sz w:val="32"/>
          <w:szCs w:val="32"/>
        </w:rPr>
        <w:t>谭庄村、曹店村、高庄村、孙家务村、鲁家务村、陈辛庄村等6个行政村尚未全面建设污水集中处理设施，仅高庄村、鲁家务村已建成分散式农村生活污水治理设施，农村生活废水及畜禽养殖粪污处于乱排、散排状态。由于区域春、秋季节蒸发量大、夏季汛期降水集中且强度较大，在旱季时，在污水蒸发、下渗及自然降解等过程作用下，农村生活污水基本不直排；在雨季时，农村生活污水中未降解污染物被雨水冲刷，随地表径流进入河流，对北运河水质造成污染。</w:t>
      </w:r>
    </w:p>
    <w:p>
      <w:pPr>
        <w:adjustRightInd w:val="0"/>
        <w:snapToGrid w:val="0"/>
        <w:spacing w:line="590" w:lineRule="exact"/>
        <w:ind w:firstLine="640"/>
        <w:rPr>
          <w:rFonts w:eastAsia="仿宋_GB2312" w:cs="Times New Roman"/>
          <w:bCs/>
          <w:sz w:val="32"/>
          <w:szCs w:val="32"/>
        </w:rPr>
      </w:pPr>
      <w:r>
        <w:rPr>
          <w:rFonts w:eastAsia="仿宋_GB2312" w:cs="Times New Roman"/>
          <w:bCs/>
          <w:sz w:val="32"/>
          <w:szCs w:val="32"/>
        </w:rPr>
        <w:t>此外，北运河堤内</w:t>
      </w:r>
      <w:r>
        <w:rPr>
          <w:rFonts w:eastAsia="仿宋_GB2312" w:cs="Times New Roman"/>
          <w:sz w:val="32"/>
          <w:szCs w:val="32"/>
        </w:rPr>
        <w:t>7个行政村现</w:t>
      </w:r>
      <w:r>
        <w:rPr>
          <w:rFonts w:eastAsia="仿宋_GB2312" w:cs="Times New Roman"/>
          <w:bCs/>
          <w:sz w:val="32"/>
          <w:szCs w:val="32"/>
        </w:rPr>
        <w:t>有耕地8500亩。调研显示，区域农业耕作模式多为分散式经营，以农户自耕自种为主，由于缺乏区域系统化管理，氮磷流失量较大，仍有较大的削减农业种植源污染潜力。</w:t>
      </w:r>
    </w:p>
    <w:p>
      <w:pPr>
        <w:pStyle w:val="3"/>
        <w:autoSpaceDN w:val="0"/>
        <w:snapToGrid w:val="0"/>
        <w:spacing w:line="590" w:lineRule="exact"/>
        <w:ind w:firstLine="643"/>
        <w:rPr>
          <w:rFonts w:eastAsia="楷体_GB2312"/>
          <w:bCs w:val="0"/>
        </w:rPr>
      </w:pPr>
      <w:bookmarkStart w:id="437" w:name="_Toc21720701"/>
      <w:r>
        <w:rPr>
          <w:rFonts w:eastAsia="楷体_GB2312"/>
          <w:bCs w:val="0"/>
        </w:rPr>
        <w:t>6.2重点镇镇区生活污染治理设施尚未健全</w:t>
      </w:r>
      <w:bookmarkEnd w:id="437"/>
    </w:p>
    <w:p>
      <w:pPr>
        <w:autoSpaceDN w:val="0"/>
        <w:adjustRightInd w:val="0"/>
        <w:snapToGrid w:val="0"/>
        <w:spacing w:line="590" w:lineRule="exact"/>
        <w:ind w:firstLine="640"/>
        <w:rPr>
          <w:rFonts w:eastAsia="仿宋_GB2312" w:cs="Times New Roman"/>
          <w:bCs/>
          <w:sz w:val="32"/>
          <w:szCs w:val="32"/>
        </w:rPr>
      </w:pPr>
      <w:r>
        <w:rPr>
          <w:rFonts w:eastAsia="仿宋_GB2312" w:cs="Times New Roman"/>
          <w:bCs/>
          <w:sz w:val="32"/>
          <w:szCs w:val="32"/>
        </w:rPr>
        <w:t>北运河沿线安平镇、淑阳镇、钳屯镇等重点乡镇社会经济发展迅速，镇区人口较多，居民生活污水排放量较大，但由于现状污水处理能力不足或未建设污水处理设施、污水收集管网尚未覆盖等原因，造成大量的乡镇居民生活污水无法有效处理直接排放，已经成为影响北运河水质的重要污染源之一。</w:t>
      </w:r>
    </w:p>
    <w:p>
      <w:pPr>
        <w:pStyle w:val="3"/>
        <w:autoSpaceDN w:val="0"/>
        <w:snapToGrid w:val="0"/>
        <w:spacing w:line="590" w:lineRule="exact"/>
        <w:ind w:firstLine="643"/>
        <w:rPr>
          <w:rFonts w:eastAsia="楷体_GB2312"/>
          <w:bCs w:val="0"/>
        </w:rPr>
      </w:pPr>
      <w:bookmarkStart w:id="438" w:name="_Toc21720702"/>
      <w:r>
        <w:rPr>
          <w:rFonts w:eastAsia="楷体_GB2312"/>
          <w:bCs w:val="0"/>
        </w:rPr>
        <w:t>6.3上游来水影响仍然不能忽视</w:t>
      </w:r>
      <w:bookmarkEnd w:id="438"/>
    </w:p>
    <w:p>
      <w:pPr>
        <w:autoSpaceDN w:val="0"/>
        <w:adjustRightInd w:val="0"/>
        <w:snapToGrid w:val="0"/>
        <w:spacing w:line="590" w:lineRule="exact"/>
        <w:ind w:firstLine="640"/>
        <w:rPr>
          <w:rFonts w:eastAsia="仿宋_GB2312" w:cs="Times New Roman"/>
          <w:bCs/>
          <w:sz w:val="32"/>
          <w:szCs w:val="32"/>
        </w:rPr>
      </w:pPr>
      <w:r>
        <w:rPr>
          <w:rFonts w:eastAsia="仿宋_GB2312" w:cs="Times New Roman"/>
          <w:bCs/>
          <w:sz w:val="32"/>
          <w:szCs w:val="32"/>
        </w:rPr>
        <w:t>从</w:t>
      </w:r>
      <w:r>
        <w:rPr>
          <w:rFonts w:eastAsia="仿宋_GB2312" w:cs="Times New Roman"/>
          <w:kern w:val="0"/>
          <w:sz w:val="32"/>
          <w:szCs w:val="32"/>
        </w:rPr>
        <w:t>现状北运河的主要水量来源上看，主要为上游北京市境内的肖家河污水处理厂、清河污水处理厂、北小河污水处理厂、酒仙河污水处理厂、高碑店污水处理厂、方庄污水处理厂、吴家村污水处理厂、卢家沟污水处理厂、小红门污水处理厂和亦庄开发区污水处理厂等11家污水处理厂尾水，以及少量沿线直排生活污水、雨水及工业废水等。</w:t>
      </w:r>
      <w:r>
        <w:rPr>
          <w:rFonts w:eastAsia="仿宋_GB2312" w:cs="Times New Roman"/>
          <w:bCs/>
          <w:sz w:val="32"/>
          <w:szCs w:val="32"/>
        </w:rPr>
        <w:t>目前，北运河水系自然径流与污水流量比基本为1</w:t>
      </w:r>
      <w:r>
        <w:rPr>
          <w:rFonts w:hint="eastAsia" w:eastAsia="仿宋_GB2312" w:cs="Times New Roman"/>
          <w:bCs/>
          <w:sz w:val="32"/>
          <w:szCs w:val="32"/>
        </w:rPr>
        <w:t>:</w:t>
      </w:r>
      <w:r>
        <w:rPr>
          <w:rFonts w:eastAsia="仿宋_GB2312" w:cs="Times New Roman"/>
          <w:bCs/>
          <w:sz w:val="32"/>
          <w:szCs w:val="32"/>
        </w:rPr>
        <w:t>6，</w:t>
      </w:r>
      <w:r>
        <w:rPr>
          <w:rFonts w:eastAsia="仿宋_GB2312" w:cs="Times New Roman"/>
          <w:kern w:val="0"/>
          <w:sz w:val="32"/>
          <w:szCs w:val="32"/>
        </w:rPr>
        <w:t>污水处理厂尾水水质</w:t>
      </w:r>
      <w:r>
        <w:rPr>
          <w:rFonts w:eastAsia="仿宋_GB2312" w:cs="Times New Roman"/>
          <w:bCs/>
          <w:sz w:val="32"/>
          <w:szCs w:val="32"/>
        </w:rPr>
        <w:t>极大影响了北运河水质。</w:t>
      </w:r>
    </w:p>
    <w:p>
      <w:pPr>
        <w:autoSpaceDN w:val="0"/>
        <w:adjustRightInd w:val="0"/>
        <w:snapToGrid w:val="0"/>
        <w:spacing w:line="590" w:lineRule="exact"/>
        <w:ind w:firstLine="640"/>
        <w:rPr>
          <w:rFonts w:eastAsia="仿宋_GB2312" w:cs="Times New Roman"/>
          <w:kern w:val="0"/>
          <w:sz w:val="32"/>
          <w:szCs w:val="32"/>
        </w:rPr>
      </w:pPr>
      <w:r>
        <w:rPr>
          <w:rFonts w:eastAsia="仿宋_GB2312" w:cs="Times New Roman"/>
          <w:bCs/>
          <w:sz w:val="32"/>
          <w:szCs w:val="32"/>
        </w:rPr>
        <w:t>由于污水厂排放一级A标准水质仍属于劣V类水体</w:t>
      </w:r>
      <w:r>
        <w:rPr>
          <w:rFonts w:eastAsia="仿宋_GB2312" w:cs="Times New Roman"/>
          <w:kern w:val="0"/>
          <w:sz w:val="32"/>
          <w:szCs w:val="32"/>
        </w:rPr>
        <w:t>。特别是考虑到现状北京市主要城镇生活污水处理厂对COD、BOD</w:t>
      </w:r>
      <w:r>
        <w:rPr>
          <w:rFonts w:eastAsia="仿宋_GB2312" w:cs="Times New Roman"/>
          <w:kern w:val="0"/>
          <w:sz w:val="32"/>
          <w:szCs w:val="32"/>
          <w:vertAlign w:val="subscript"/>
        </w:rPr>
        <w:t>5</w:t>
      </w:r>
      <w:r>
        <w:rPr>
          <w:rFonts w:eastAsia="仿宋_GB2312" w:cs="Times New Roman"/>
          <w:kern w:val="0"/>
          <w:sz w:val="32"/>
          <w:szCs w:val="32"/>
        </w:rPr>
        <w:t>、SS的去除效率较高，但是对总磷、总氮的去除效率较低，导致目前北运河来水总磷、氨氮、总氮浓度仍然偏高，水质较差。</w:t>
      </w:r>
    </w:p>
    <w:p>
      <w:pPr>
        <w:pStyle w:val="2"/>
        <w:autoSpaceDN w:val="0"/>
        <w:adjustRightInd w:val="0"/>
        <w:snapToGrid w:val="0"/>
        <w:spacing w:line="590" w:lineRule="exact"/>
        <w:ind w:firstLine="640"/>
        <w:jc w:val="both"/>
        <w:rPr>
          <w:bCs w:val="0"/>
          <w:kern w:val="2"/>
          <w:szCs w:val="32"/>
        </w:rPr>
      </w:pPr>
      <w:bookmarkStart w:id="439" w:name="_Toc21720703"/>
      <w:r>
        <w:rPr>
          <w:bCs w:val="0"/>
          <w:kern w:val="2"/>
          <w:szCs w:val="32"/>
        </w:rPr>
        <w:t>七、重点任务</w:t>
      </w:r>
      <w:bookmarkEnd w:id="439"/>
    </w:p>
    <w:p>
      <w:pPr>
        <w:pStyle w:val="3"/>
        <w:autoSpaceDN w:val="0"/>
        <w:snapToGrid w:val="0"/>
        <w:spacing w:line="590" w:lineRule="exact"/>
        <w:ind w:firstLine="643"/>
        <w:rPr>
          <w:rFonts w:eastAsia="楷体_GB2312"/>
          <w:bCs w:val="0"/>
        </w:rPr>
      </w:pPr>
      <w:bookmarkStart w:id="440" w:name="_Toc21720704"/>
      <w:r>
        <w:rPr>
          <w:rFonts w:eastAsia="楷体_GB2312"/>
          <w:bCs w:val="0"/>
        </w:rPr>
        <w:t>7.1持续推进农村生活源治理</w:t>
      </w:r>
      <w:bookmarkEnd w:id="440"/>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北运河水质保障区内农村生活源COD、氨氮排放量均较大，由于保障区内农户居住相对集中，为污水处理提供了较好的条件，可结合实际，因地制宜地采用集中处理和分散处理相结合的方法处理农村生活污水：</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（1）将村周洼地改造成小型稳定塘处理设施，以生态化方式改造原有洼地，强化其对污染物降解作用，结合本区域年蒸发量大的特点，可有效降低农村污染总量；</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（2）以村为单位，建设微动力污水处理一体化设备，该类设施对污水水质水量波动问题具有较强的适应性，能够适用于保障区内农村生活污水处理；</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（3）化粪池处理，部分农村住户可利用家用型化粪池作为其污水处理设施，化粪池残渣后期可通过有机肥还田等措施进行处理；</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（4）以市政管网收集处理。部分农村距离城市污水厂较近，可直接修建村级污水管网，通过管网收集农村生活污水，并接入主干市政管网，由城市污水厂处理污水。</w:t>
      </w:r>
    </w:p>
    <w:p>
      <w:pPr>
        <w:pStyle w:val="3"/>
        <w:autoSpaceDN w:val="0"/>
        <w:snapToGrid w:val="0"/>
        <w:spacing w:line="590" w:lineRule="exact"/>
        <w:ind w:firstLine="643"/>
        <w:rPr>
          <w:rFonts w:eastAsia="楷体_GB2312"/>
          <w:bCs w:val="0"/>
        </w:rPr>
      </w:pPr>
      <w:bookmarkStart w:id="441" w:name="_Toc21720705"/>
      <w:r>
        <w:rPr>
          <w:rFonts w:eastAsia="楷体_GB2312"/>
          <w:bCs w:val="0"/>
        </w:rPr>
        <w:t>7.2积极开展农业种植业污染源治理</w:t>
      </w:r>
      <w:bookmarkEnd w:id="441"/>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针对本地区农业种植面源防治上，应以引导性政策为核心，积极发展生态循环农业，引导农民科学施肥，鼓励使用有机肥，减少农田氮磷入河量，同时引导农民转变耕作模式，减少高耗水量作物种植，减少农田退水。结合北运河两岸主要为堤防林地建设，建立有效的面源污染截留体系。</w:t>
      </w:r>
    </w:p>
    <w:p>
      <w:pPr>
        <w:pStyle w:val="3"/>
        <w:autoSpaceDN w:val="0"/>
        <w:snapToGrid w:val="0"/>
        <w:spacing w:line="590" w:lineRule="exact"/>
        <w:ind w:firstLine="643"/>
        <w:rPr>
          <w:rFonts w:eastAsia="楷体_GB2312"/>
          <w:bCs w:val="0"/>
        </w:rPr>
      </w:pPr>
      <w:bookmarkStart w:id="442" w:name="_Toc21720706"/>
      <w:r>
        <w:rPr>
          <w:rFonts w:eastAsia="楷体_GB2312"/>
          <w:bCs w:val="0"/>
        </w:rPr>
        <w:t>7.3推进北运河香河段生态环境综合整治项目实施</w:t>
      </w:r>
      <w:bookmarkEnd w:id="442"/>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北运河香河段定位为上游污染物自净河段。目前，本河段沿线主要有支流汇入（凤港减河、小友垡排干渠、秦营干渠）、城镇雨面源、堤内农村生活畜禽养殖源及农业种植源等。</w:t>
      </w:r>
    </w:p>
    <w:p>
      <w:r>
        <w:rPr>
          <w:rFonts w:eastAsia="仿宋_GB2312" w:cs="Times New Roman"/>
          <w:sz w:val="32"/>
          <w:szCs w:val="32"/>
        </w:rPr>
        <w:t>考虑到现状北运河香河段周边除城市建成区、农村建成区、基本农田等外，还有各类未利用地192公顷。其中，北运河香河段现有旧河道面积约40公顷，引河河口林地约11公顷，凤港减河河口林地约26公顷，青龙湾河分流口林地约68公顷，曹甸橡胶坝</w:t>
      </w:r>
      <w:bookmarkStart w:id="443" w:name="_GoBack"/>
      <w:bookmarkEnd w:id="443"/>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19F" w:csb1="00000000"/>
  </w:font>
  <w:font w:name="Calibri">
    <w:panose1 w:val="020F0502020204030204"/>
    <w:charset w:val="00"/>
    <w:family w:val="swiss"/>
    <w:pitch w:val="default"/>
    <w:sig w:usb0="E10002FF" w:usb1="4000ACFF" w:usb2="00000009" w:usb3="00000000" w:csb0="2000019F" w:csb1="00000000"/>
  </w:font>
  <w:font w:name="Arial">
    <w:panose1 w:val="020B0604020202020204"/>
    <w:charset w:val="00"/>
    <w:family w:val="swiss"/>
    <w:pitch w:val="default"/>
    <w:sig w:usb0="E0002AFF" w:usb1="C0007843" w:usb2="00000009" w:usb3="00000000" w:csb0="400001FF" w:csb1="FFFF0000"/>
  </w:font>
  <w:font w:name="仿宋_GB2312">
    <w:altName w:val="仿宋"/>
    <w:panose1 w:val="02010609030101010101"/>
    <w:charset w:val="86"/>
    <w:family w:val="modern"/>
    <w:pitch w:val="default"/>
    <w:sig w:usb0="00000000" w:usb1="00000000" w:usb2="00000010" w:usb3="00000000" w:csb0="00040000" w:csb1="00000000"/>
  </w:font>
  <w:font w:name="Calibri Light">
    <w:altName w:val="Calibri"/>
    <w:panose1 w:val="020F0302020204030204"/>
    <w:charset w:val="00"/>
    <w:family w:val="swiss"/>
    <w:pitch w:val="default"/>
    <w:sig w:usb0="00000000" w:usb1="00000000" w:usb2="00000000" w:usb3="00000000" w:csb0="0000019F" w:csb1="00000000"/>
  </w:font>
  <w:font w:name="仿宋">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微软雅黑">
    <w:panose1 w:val="020B0503020204020204"/>
    <w:charset w:val="86"/>
    <w:family w:val="swiss"/>
    <w:pitch w:val="default"/>
    <w:sig w:usb0="80000287" w:usb1="280F3C52" w:usb2="00000016" w:usb3="00000000" w:csb0="0004001F" w:csb1="00000000"/>
  </w:font>
  <w:font w:name="华文细黑">
    <w:altName w:val="微软雅黑"/>
    <w:panose1 w:val="02010600040101010101"/>
    <w:charset w:val="86"/>
    <w:family w:val="auto"/>
    <w:pitch w:val="default"/>
    <w:sig w:usb0="00000000" w:usb1="00000000" w:usb2="00000010" w:usb3="00000000" w:csb0="0004009F" w:csb1="00000000"/>
  </w:font>
  <w:font w:name="??">
    <w:altName w:val="Times New Roman"/>
    <w:panose1 w:val="00000000000000000000"/>
    <w:charset w:val="00"/>
    <w:family w:val="swiss"/>
    <w:pitch w:val="default"/>
    <w:sig w:usb0="00000000" w:usb1="00000000" w:usb2="00000000" w:usb3="00000000" w:csb0="00000001" w:csb1="00000000"/>
  </w:font>
  <w:font w:name="Chicago">
    <w:altName w:val="Arial"/>
    <w:panose1 w:val="00000000000000000000"/>
    <w:charset w:val="00"/>
    <w:family w:val="swiss"/>
    <w:pitch w:val="default"/>
    <w:sig w:usb0="00000000" w:usb1="00000000" w:usb2="00000000" w:usb3="00000000" w:csb0="00000001" w:csb1="00000000"/>
  </w:font>
  <w:font w:name="等线">
    <w:altName w:val="宋体"/>
    <w:panose1 w:val="02010600030101010101"/>
    <w:charset w:val="86"/>
    <w:family w:val="auto"/>
    <w:pitch w:val="default"/>
    <w:sig w:usb0="00000000" w:usb1="00000000" w:usb2="00000016" w:usb3="00000000" w:csb0="0004000F" w:csb1="00000000"/>
  </w:font>
  <w:font w:name="楷体_GB2312">
    <w:altName w:val="楷体"/>
    <w:panose1 w:val="02010609030101010101"/>
    <w:charset w:val="86"/>
    <w:family w:val="modern"/>
    <w:pitch w:val="default"/>
    <w:sig w:usb0="00000000" w:usb1="00000000" w:usb2="00000010" w:usb3="00000000" w:csb0="00040000" w:csb1="00000000"/>
  </w:font>
  <w:font w:name="宋体-方正超大字符集">
    <w:altName w:val="宋体"/>
    <w:panose1 w:val="03000509000000000000"/>
    <w:charset w:val="86"/>
    <w:family w:val="script"/>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华文楷体">
    <w:altName w:val="宋体"/>
    <w:panose1 w:val="02010600040101010101"/>
    <w:charset w:val="86"/>
    <w:family w:val="auto"/>
    <w:pitch w:val="default"/>
    <w:sig w:usb0="00000000" w:usb1="00000000" w:usb2="00000010" w:usb3="00000000" w:csb0="0004009F" w:csb1="00000000"/>
  </w:font>
  <w:font w:name="方正小标宋简体">
    <w:panose1 w:val="03000509000000000000"/>
    <w:charset w:val="86"/>
    <w:family w:val="auto"/>
    <w:pitch w:val="default"/>
    <w:sig w:usb0="00000001" w:usb1="080E0000" w:usb2="00000000" w:usb3="00000000" w:csb0="00040000" w:csb1="00000000"/>
  </w:font>
  <w:font w:name="方正仿宋_GBK">
    <w:altName w:val="微软雅黑"/>
    <w:panose1 w:val="03000509000000000000"/>
    <w:charset w:val="86"/>
    <w:family w:val="script"/>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outside" w:y="1"/>
      <w:ind w:firstLine="560"/>
      <w:rPr>
        <w:rStyle w:val="8"/>
        <w:rFonts w:hint="eastAsia" w:ascii="宋体" w:hAnsi="宋体"/>
        <w:sz w:val="28"/>
        <w:szCs w:val="28"/>
      </w:rPr>
    </w:pPr>
    <w:r>
      <w:rPr>
        <w:rStyle w:val="8"/>
        <w:rFonts w:hint="eastAsia" w:ascii="宋体" w:hAnsi="宋体"/>
        <w:sz w:val="28"/>
        <w:szCs w:val="28"/>
      </w:rPr>
      <w:t xml:space="preserve">— </w:t>
    </w:r>
    <w:r>
      <w:rPr>
        <w:rFonts w:ascii="宋体" w:hAnsi="宋体"/>
        <w:sz w:val="28"/>
        <w:szCs w:val="28"/>
      </w:rPr>
      <w:fldChar w:fldCharType="begin"/>
    </w:r>
    <w:r>
      <w:rPr>
        <w:rStyle w:val="8"/>
        <w:rFonts w:ascii="宋体" w:hAnsi="宋体"/>
        <w:sz w:val="28"/>
        <w:szCs w:val="28"/>
      </w:rPr>
      <w:instrText xml:space="preserve">PAGE  </w:instrText>
    </w:r>
    <w:r>
      <w:rPr>
        <w:rFonts w:ascii="宋体" w:hAnsi="宋体"/>
        <w:sz w:val="28"/>
        <w:szCs w:val="28"/>
      </w:rPr>
      <w:fldChar w:fldCharType="separate"/>
    </w:r>
    <w:r>
      <w:rPr>
        <w:rStyle w:val="8"/>
        <w:rFonts w:ascii="宋体" w:hAnsi="宋体"/>
        <w:sz w:val="28"/>
        <w:szCs w:val="28"/>
      </w:rPr>
      <w:t>93</w:t>
    </w:r>
    <w:r>
      <w:rPr>
        <w:rFonts w:ascii="宋体" w:hAnsi="宋体"/>
        <w:sz w:val="28"/>
        <w:szCs w:val="28"/>
      </w:rPr>
      <w:fldChar w:fldCharType="end"/>
    </w:r>
    <w:r>
      <w:rPr>
        <w:rStyle w:val="8"/>
        <w:rFonts w:hint="eastAsia" w:ascii="宋体" w:hAnsi="宋体"/>
        <w:sz w:val="28"/>
        <w:szCs w:val="28"/>
      </w:rPr>
      <w:t xml:space="preserve"> —</w:t>
    </w:r>
    <w:r>
      <w:rPr>
        <w:rStyle w:val="8"/>
        <w:rFonts w:hint="eastAsia" w:ascii="宋体" w:hAnsi="宋体"/>
        <w:color w:val="FFFFFF"/>
        <w:sz w:val="28"/>
        <w:szCs w:val="28"/>
      </w:rPr>
      <w:t>字</w:t>
    </w:r>
    <w:r>
      <w:rPr>
        <w:rStyle w:val="8"/>
        <w:rFonts w:hint="eastAsia" w:ascii="宋体" w:hAnsi="宋体"/>
        <w:sz w:val="28"/>
        <w:szCs w:val="28"/>
      </w:rPr>
      <w:t xml:space="preserve">　 </w:t>
    </w:r>
    <w:r>
      <w:rPr>
        <w:rStyle w:val="8"/>
        <w:rFonts w:hint="eastAsia" w:ascii="宋体" w:hAnsi="宋体"/>
        <w:color w:val="FFFFFF"/>
        <w:sz w:val="28"/>
        <w:szCs w:val="28"/>
      </w:rPr>
      <w:t>　</w:t>
    </w:r>
  </w:p>
  <w:p>
    <w:pPr>
      <w:pStyle w:val="5"/>
      <w:ind w:right="360"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outside" w:y="1"/>
      <w:ind w:firstLine="0" w:firstLineChars="0"/>
      <w:rPr>
        <w:rStyle w:val="8"/>
        <w:rFonts w:ascii="宋体" w:hAnsi="宋体"/>
        <w:sz w:val="28"/>
        <w:szCs w:val="28"/>
      </w:rPr>
    </w:pPr>
    <w:r>
      <w:rPr>
        <w:rStyle w:val="8"/>
        <w:rFonts w:hint="eastAsia" w:ascii="宋体" w:hAnsi="宋体"/>
        <w:color w:val="FFFFFF"/>
        <w:sz w:val="28"/>
        <w:szCs w:val="28"/>
      </w:rPr>
      <w:t>字</w:t>
    </w:r>
    <w:r>
      <w:rPr>
        <w:rStyle w:val="8"/>
        <w:rFonts w:hint="eastAsia" w:ascii="宋体" w:hAnsi="宋体"/>
        <w:sz w:val="28"/>
        <w:szCs w:val="28"/>
      </w:rPr>
      <w:t xml:space="preserve">— </w:t>
    </w:r>
    <w:r>
      <w:rPr>
        <w:rFonts w:ascii="宋体" w:hAnsi="宋体"/>
        <w:sz w:val="28"/>
        <w:szCs w:val="28"/>
      </w:rPr>
      <w:fldChar w:fldCharType="begin"/>
    </w:r>
    <w:r>
      <w:rPr>
        <w:rStyle w:val="8"/>
        <w:rFonts w:ascii="宋体" w:hAnsi="宋体"/>
        <w:sz w:val="28"/>
        <w:szCs w:val="28"/>
      </w:rPr>
      <w:instrText xml:space="preserve">PAGE  </w:instrText>
    </w:r>
    <w:r>
      <w:rPr>
        <w:rFonts w:ascii="宋体" w:hAnsi="宋体"/>
        <w:sz w:val="28"/>
        <w:szCs w:val="28"/>
      </w:rPr>
      <w:fldChar w:fldCharType="separate"/>
    </w:r>
    <w:r>
      <w:rPr>
        <w:rStyle w:val="8"/>
        <w:rFonts w:ascii="宋体" w:hAnsi="宋体"/>
        <w:sz w:val="28"/>
        <w:szCs w:val="28"/>
      </w:rPr>
      <w:t>141</w:t>
    </w:r>
    <w:r>
      <w:rPr>
        <w:rFonts w:ascii="宋体" w:hAnsi="宋体"/>
        <w:sz w:val="28"/>
        <w:szCs w:val="28"/>
      </w:rPr>
      <w:fldChar w:fldCharType="end"/>
    </w:r>
    <w:r>
      <w:rPr>
        <w:rStyle w:val="8"/>
        <w:rFonts w:hint="eastAsia" w:ascii="宋体" w:hAnsi="宋体"/>
        <w:sz w:val="28"/>
        <w:szCs w:val="28"/>
      </w:rPr>
      <w:t xml:space="preserve"> —</w:t>
    </w:r>
    <w:r>
      <w:rPr>
        <w:rStyle w:val="8"/>
        <w:rFonts w:hint="eastAsia" w:ascii="宋体" w:hAnsi="宋体"/>
        <w:color w:val="FFFFFF"/>
        <w:sz w:val="28"/>
        <w:szCs w:val="28"/>
      </w:rPr>
      <w:t>—</w:t>
    </w:r>
    <w:r>
      <w:rPr>
        <w:rStyle w:val="8"/>
        <w:rFonts w:hint="eastAsia" w:ascii="宋体" w:hAnsi="宋体"/>
        <w:sz w:val="28"/>
        <w:szCs w:val="28"/>
      </w:rPr>
      <w:t xml:space="preserve"> </w:t>
    </w:r>
  </w:p>
  <w:p>
    <w:pPr>
      <w:pStyle w:val="5"/>
      <w:ind w:right="360" w:firstLine="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outside" w:y="1"/>
      <w:ind w:firstLine="0" w:firstLineChars="0"/>
      <w:rPr>
        <w:rStyle w:val="8"/>
        <w:rFonts w:ascii="宋体" w:hAnsi="宋体"/>
        <w:sz w:val="28"/>
        <w:szCs w:val="28"/>
      </w:rPr>
    </w:pPr>
    <w:r>
      <w:rPr>
        <w:rStyle w:val="8"/>
        <w:rFonts w:hint="eastAsia" w:ascii="宋体" w:hAnsi="宋体"/>
        <w:color w:val="FFFFFF"/>
        <w:sz w:val="28"/>
        <w:szCs w:val="28"/>
      </w:rPr>
      <w:t>—</w:t>
    </w:r>
    <w:r>
      <w:rPr>
        <w:rStyle w:val="8"/>
        <w:rFonts w:hint="eastAsia" w:ascii="宋体" w:hAnsi="宋体"/>
        <w:sz w:val="28"/>
        <w:szCs w:val="28"/>
      </w:rPr>
      <w:t xml:space="preserve">— </w:t>
    </w:r>
    <w:r>
      <w:rPr>
        <w:rFonts w:ascii="宋体" w:hAnsi="宋体"/>
        <w:sz w:val="28"/>
        <w:szCs w:val="28"/>
      </w:rPr>
      <w:fldChar w:fldCharType="begin"/>
    </w:r>
    <w:r>
      <w:rPr>
        <w:rStyle w:val="8"/>
        <w:rFonts w:ascii="宋体" w:hAnsi="宋体"/>
        <w:sz w:val="28"/>
        <w:szCs w:val="28"/>
      </w:rPr>
      <w:instrText xml:space="preserve">PAGE  </w:instrText>
    </w:r>
    <w:r>
      <w:rPr>
        <w:rFonts w:ascii="宋体" w:hAnsi="宋体"/>
        <w:sz w:val="28"/>
        <w:szCs w:val="28"/>
      </w:rPr>
      <w:fldChar w:fldCharType="separate"/>
    </w:r>
    <w:r>
      <w:rPr>
        <w:rStyle w:val="8"/>
        <w:rFonts w:ascii="宋体" w:hAnsi="宋体"/>
        <w:sz w:val="28"/>
        <w:szCs w:val="28"/>
      </w:rPr>
      <w:t>142</w:t>
    </w:r>
    <w:r>
      <w:rPr>
        <w:rFonts w:ascii="宋体" w:hAnsi="宋体"/>
        <w:sz w:val="28"/>
        <w:szCs w:val="28"/>
      </w:rPr>
      <w:fldChar w:fldCharType="end"/>
    </w:r>
    <w:r>
      <w:rPr>
        <w:rStyle w:val="8"/>
        <w:rFonts w:hint="eastAsia" w:ascii="宋体" w:hAnsi="宋体"/>
        <w:sz w:val="28"/>
        <w:szCs w:val="28"/>
      </w:rPr>
      <w:t xml:space="preserve"> —</w:t>
    </w:r>
  </w:p>
  <w:p>
    <w:pPr>
      <w:pStyle w:val="5"/>
      <w:ind w:right="360" w:firstLine="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right="360" w:firstLine="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right="360" w:firstLine="360"/>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outside" w:y="1"/>
      <w:ind w:firstLine="0" w:firstLineChars="0"/>
      <w:rPr>
        <w:rStyle w:val="8"/>
        <w:rFonts w:ascii="宋体" w:hAnsi="宋体"/>
        <w:sz w:val="28"/>
        <w:szCs w:val="28"/>
      </w:rPr>
    </w:pPr>
    <w:r>
      <w:rPr>
        <w:rStyle w:val="8"/>
        <w:rFonts w:hint="eastAsia" w:ascii="宋体" w:hAnsi="宋体"/>
        <w:color w:val="FFFFFF"/>
        <w:sz w:val="28"/>
        <w:szCs w:val="28"/>
      </w:rPr>
      <w:t>字</w:t>
    </w:r>
    <w:r>
      <w:rPr>
        <w:rStyle w:val="8"/>
        <w:rFonts w:hint="eastAsia" w:ascii="宋体" w:hAnsi="宋体"/>
        <w:sz w:val="28"/>
        <w:szCs w:val="28"/>
      </w:rPr>
      <w:t xml:space="preserve">— </w:t>
    </w:r>
    <w:r>
      <w:rPr>
        <w:rFonts w:ascii="宋体" w:hAnsi="宋体"/>
        <w:sz w:val="28"/>
        <w:szCs w:val="28"/>
      </w:rPr>
      <w:fldChar w:fldCharType="begin"/>
    </w:r>
    <w:r>
      <w:rPr>
        <w:rStyle w:val="8"/>
        <w:rFonts w:ascii="宋体" w:hAnsi="宋体"/>
        <w:sz w:val="28"/>
        <w:szCs w:val="28"/>
      </w:rPr>
      <w:instrText xml:space="preserve">PAGE  </w:instrText>
    </w:r>
    <w:r>
      <w:rPr>
        <w:rFonts w:ascii="宋体" w:hAnsi="宋体"/>
        <w:sz w:val="28"/>
        <w:szCs w:val="28"/>
      </w:rPr>
      <w:fldChar w:fldCharType="separate"/>
    </w:r>
    <w:r>
      <w:rPr>
        <w:rStyle w:val="8"/>
        <w:rFonts w:ascii="宋体" w:hAnsi="宋体"/>
        <w:sz w:val="28"/>
        <w:szCs w:val="28"/>
      </w:rPr>
      <w:t>187</w:t>
    </w:r>
    <w:r>
      <w:rPr>
        <w:rFonts w:ascii="宋体" w:hAnsi="宋体"/>
        <w:sz w:val="28"/>
        <w:szCs w:val="28"/>
      </w:rPr>
      <w:fldChar w:fldCharType="end"/>
    </w:r>
    <w:r>
      <w:rPr>
        <w:rStyle w:val="8"/>
        <w:rFonts w:hint="eastAsia" w:ascii="宋体" w:hAnsi="宋体"/>
        <w:sz w:val="28"/>
        <w:szCs w:val="28"/>
      </w:rPr>
      <w:t xml:space="preserve"> —</w:t>
    </w:r>
    <w:r>
      <w:rPr>
        <w:rStyle w:val="8"/>
        <w:rFonts w:hint="eastAsia" w:ascii="宋体" w:hAnsi="宋体"/>
        <w:color w:val="FFFFFF"/>
        <w:sz w:val="28"/>
        <w:szCs w:val="28"/>
      </w:rPr>
      <w:t>—</w:t>
    </w:r>
    <w:r>
      <w:rPr>
        <w:rStyle w:val="8"/>
        <w:rFonts w:hint="eastAsia" w:ascii="宋体" w:hAnsi="宋体"/>
        <w:sz w:val="28"/>
        <w:szCs w:val="28"/>
      </w:rPr>
      <w:t xml:space="preserve"> </w:t>
    </w:r>
  </w:p>
  <w:p>
    <w:pPr>
      <w:pStyle w:val="5"/>
      <w:ind w:right="360" w:firstLine="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outside" w:y="1"/>
      <w:ind w:firstLine="0" w:firstLineChars="0"/>
      <w:rPr>
        <w:rStyle w:val="8"/>
        <w:rFonts w:ascii="宋体" w:hAnsi="宋体"/>
        <w:sz w:val="28"/>
        <w:szCs w:val="28"/>
      </w:rPr>
    </w:pPr>
    <w:r>
      <w:rPr>
        <w:rStyle w:val="8"/>
        <w:rFonts w:hint="eastAsia" w:ascii="宋体" w:hAnsi="宋体"/>
        <w:color w:val="FFFFFF"/>
        <w:sz w:val="28"/>
        <w:szCs w:val="28"/>
      </w:rPr>
      <w:t>—</w:t>
    </w:r>
    <w:r>
      <w:rPr>
        <w:rStyle w:val="8"/>
        <w:rFonts w:hint="eastAsia" w:ascii="宋体" w:hAnsi="宋体"/>
        <w:sz w:val="28"/>
        <w:szCs w:val="28"/>
      </w:rPr>
      <w:t xml:space="preserve">— </w:t>
    </w:r>
    <w:r>
      <w:rPr>
        <w:rFonts w:ascii="宋体" w:hAnsi="宋体"/>
        <w:sz w:val="28"/>
        <w:szCs w:val="28"/>
      </w:rPr>
      <w:fldChar w:fldCharType="begin"/>
    </w:r>
    <w:r>
      <w:rPr>
        <w:rStyle w:val="8"/>
        <w:rFonts w:ascii="宋体" w:hAnsi="宋体"/>
        <w:sz w:val="28"/>
        <w:szCs w:val="28"/>
      </w:rPr>
      <w:instrText xml:space="preserve">PAGE  </w:instrText>
    </w:r>
    <w:r>
      <w:rPr>
        <w:rFonts w:ascii="宋体" w:hAnsi="宋体"/>
        <w:sz w:val="28"/>
        <w:szCs w:val="28"/>
      </w:rPr>
      <w:fldChar w:fldCharType="separate"/>
    </w:r>
    <w:r>
      <w:rPr>
        <w:rStyle w:val="8"/>
        <w:rFonts w:ascii="宋体" w:hAnsi="宋体"/>
        <w:sz w:val="28"/>
        <w:szCs w:val="28"/>
      </w:rPr>
      <w:t>188</w:t>
    </w:r>
    <w:r>
      <w:rPr>
        <w:rFonts w:ascii="宋体" w:hAnsi="宋体"/>
        <w:sz w:val="28"/>
        <w:szCs w:val="28"/>
      </w:rPr>
      <w:fldChar w:fldCharType="end"/>
    </w:r>
    <w:r>
      <w:rPr>
        <w:rStyle w:val="8"/>
        <w:rFonts w:hint="eastAsia" w:ascii="宋体" w:hAnsi="宋体"/>
        <w:sz w:val="28"/>
        <w:szCs w:val="28"/>
      </w:rPr>
      <w:t xml:space="preserve"> —</w:t>
    </w:r>
  </w:p>
  <w:p>
    <w:pPr>
      <w:pStyle w:val="5"/>
      <w:ind w:right="360" w:firstLine="360"/>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right="360" w:firstLine="360"/>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outside" w:y="1"/>
      <w:ind w:firstLine="0" w:firstLineChars="0"/>
      <w:rPr>
        <w:rStyle w:val="8"/>
        <w:rFonts w:ascii="宋体" w:hAnsi="宋体"/>
        <w:sz w:val="28"/>
        <w:szCs w:val="28"/>
      </w:rPr>
    </w:pPr>
    <w:r>
      <w:rPr>
        <w:rStyle w:val="8"/>
        <w:rFonts w:hint="eastAsia" w:ascii="宋体" w:hAnsi="宋体"/>
        <w:color w:val="FFFFFF"/>
        <w:sz w:val="28"/>
        <w:szCs w:val="28"/>
      </w:rPr>
      <w:t>—</w:t>
    </w:r>
    <w:r>
      <w:rPr>
        <w:rStyle w:val="8"/>
        <w:rFonts w:hint="eastAsia" w:ascii="宋体" w:hAnsi="宋体"/>
        <w:sz w:val="28"/>
        <w:szCs w:val="28"/>
      </w:rPr>
      <w:t xml:space="preserve">— </w:t>
    </w:r>
    <w:r>
      <w:rPr>
        <w:rFonts w:ascii="宋体" w:hAnsi="宋体"/>
        <w:sz w:val="28"/>
        <w:szCs w:val="28"/>
      </w:rPr>
      <w:fldChar w:fldCharType="begin"/>
    </w:r>
    <w:r>
      <w:rPr>
        <w:rStyle w:val="8"/>
        <w:rFonts w:ascii="宋体" w:hAnsi="宋体"/>
        <w:sz w:val="28"/>
        <w:szCs w:val="28"/>
      </w:rPr>
      <w:instrText xml:space="preserve">PAGE  </w:instrText>
    </w:r>
    <w:r>
      <w:rPr>
        <w:rFonts w:ascii="宋体" w:hAnsi="宋体"/>
        <w:sz w:val="28"/>
        <w:szCs w:val="28"/>
      </w:rPr>
      <w:fldChar w:fldCharType="separate"/>
    </w:r>
    <w:r>
      <w:rPr>
        <w:rStyle w:val="8"/>
        <w:rFonts w:ascii="宋体" w:hAnsi="宋体"/>
        <w:sz w:val="28"/>
        <w:szCs w:val="28"/>
      </w:rPr>
      <w:t>190</w:t>
    </w:r>
    <w:r>
      <w:rPr>
        <w:rFonts w:ascii="宋体" w:hAnsi="宋体"/>
        <w:sz w:val="28"/>
        <w:szCs w:val="28"/>
      </w:rPr>
      <w:fldChar w:fldCharType="end"/>
    </w:r>
    <w:r>
      <w:rPr>
        <w:rStyle w:val="8"/>
        <w:rFonts w:hint="eastAsia" w:ascii="宋体" w:hAnsi="宋体"/>
        <w:sz w:val="28"/>
        <w:szCs w:val="28"/>
      </w:rPr>
      <w:t xml:space="preserve"> —</w:t>
    </w:r>
  </w:p>
  <w:p>
    <w:pPr>
      <w:pStyle w:val="5"/>
      <w:ind w:right="360" w:firstLine="360"/>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outside" w:y="1"/>
      <w:ind w:firstLine="0" w:firstLineChars="0"/>
      <w:rPr>
        <w:rStyle w:val="8"/>
        <w:rFonts w:ascii="宋体" w:hAnsi="宋体"/>
        <w:sz w:val="28"/>
        <w:szCs w:val="28"/>
      </w:rPr>
    </w:pPr>
    <w:r>
      <w:rPr>
        <w:rStyle w:val="8"/>
        <w:rFonts w:hint="eastAsia" w:ascii="宋体" w:hAnsi="宋体"/>
        <w:color w:val="FFFFFF"/>
        <w:sz w:val="28"/>
        <w:szCs w:val="28"/>
      </w:rPr>
      <w:t>字</w:t>
    </w:r>
    <w:r>
      <w:rPr>
        <w:rStyle w:val="8"/>
        <w:rFonts w:hint="eastAsia" w:ascii="宋体" w:hAnsi="宋体"/>
        <w:sz w:val="28"/>
        <w:szCs w:val="28"/>
      </w:rPr>
      <w:t xml:space="preserve">— </w:t>
    </w:r>
    <w:r>
      <w:rPr>
        <w:rFonts w:ascii="宋体" w:hAnsi="宋体"/>
        <w:sz w:val="28"/>
        <w:szCs w:val="28"/>
      </w:rPr>
      <w:fldChar w:fldCharType="begin"/>
    </w:r>
    <w:r>
      <w:rPr>
        <w:rStyle w:val="8"/>
        <w:rFonts w:ascii="宋体" w:hAnsi="宋体"/>
        <w:sz w:val="28"/>
        <w:szCs w:val="28"/>
      </w:rPr>
      <w:instrText xml:space="preserve">PAGE  </w:instrText>
    </w:r>
    <w:r>
      <w:rPr>
        <w:rFonts w:ascii="宋体" w:hAnsi="宋体"/>
        <w:sz w:val="28"/>
        <w:szCs w:val="28"/>
      </w:rPr>
      <w:fldChar w:fldCharType="separate"/>
    </w:r>
    <w:r>
      <w:rPr>
        <w:rStyle w:val="8"/>
        <w:rFonts w:ascii="宋体" w:hAnsi="宋体"/>
        <w:sz w:val="28"/>
        <w:szCs w:val="28"/>
      </w:rPr>
      <w:t>92</w:t>
    </w:r>
    <w:r>
      <w:rPr>
        <w:rFonts w:ascii="宋体" w:hAnsi="宋体"/>
        <w:sz w:val="28"/>
        <w:szCs w:val="28"/>
      </w:rPr>
      <w:fldChar w:fldCharType="end"/>
    </w:r>
    <w:r>
      <w:rPr>
        <w:rStyle w:val="8"/>
        <w:rFonts w:hint="eastAsia" w:ascii="宋体" w:hAnsi="宋体"/>
        <w:sz w:val="28"/>
        <w:szCs w:val="28"/>
      </w:rPr>
      <w:t xml:space="preserve"> —</w:t>
    </w:r>
  </w:p>
  <w:p>
    <w:pPr>
      <w:pStyle w:val="5"/>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right="360"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right="360"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outside" w:y="1"/>
      <w:ind w:firstLine="0" w:firstLineChars="0"/>
      <w:rPr>
        <w:rStyle w:val="8"/>
        <w:rFonts w:ascii="宋体" w:hAnsi="宋体"/>
        <w:sz w:val="28"/>
        <w:szCs w:val="28"/>
      </w:rPr>
    </w:pPr>
    <w:r>
      <w:rPr>
        <w:rStyle w:val="8"/>
        <w:rFonts w:hint="eastAsia" w:ascii="宋体" w:hAnsi="宋体"/>
        <w:color w:val="FFFFFF"/>
        <w:sz w:val="28"/>
        <w:szCs w:val="28"/>
      </w:rPr>
      <w:t>字</w:t>
    </w:r>
    <w:r>
      <w:rPr>
        <w:rStyle w:val="8"/>
        <w:rFonts w:hint="eastAsia" w:ascii="宋体" w:hAnsi="宋体"/>
        <w:sz w:val="28"/>
        <w:szCs w:val="28"/>
      </w:rPr>
      <w:t xml:space="preserve">— </w:t>
    </w:r>
    <w:r>
      <w:rPr>
        <w:rFonts w:ascii="宋体" w:hAnsi="宋体"/>
        <w:sz w:val="28"/>
        <w:szCs w:val="28"/>
      </w:rPr>
      <w:fldChar w:fldCharType="begin"/>
    </w:r>
    <w:r>
      <w:rPr>
        <w:rStyle w:val="8"/>
        <w:rFonts w:ascii="宋体" w:hAnsi="宋体"/>
        <w:sz w:val="28"/>
        <w:szCs w:val="28"/>
      </w:rPr>
      <w:instrText xml:space="preserve">PAGE  </w:instrText>
    </w:r>
    <w:r>
      <w:rPr>
        <w:rFonts w:ascii="宋体" w:hAnsi="宋体"/>
        <w:sz w:val="28"/>
        <w:szCs w:val="28"/>
      </w:rPr>
      <w:fldChar w:fldCharType="separate"/>
    </w:r>
    <w:r>
      <w:rPr>
        <w:rStyle w:val="8"/>
        <w:rFonts w:ascii="宋体" w:hAnsi="宋体"/>
        <w:sz w:val="28"/>
        <w:szCs w:val="28"/>
      </w:rPr>
      <w:t>117</w:t>
    </w:r>
    <w:r>
      <w:rPr>
        <w:rFonts w:ascii="宋体" w:hAnsi="宋体"/>
        <w:sz w:val="28"/>
        <w:szCs w:val="28"/>
      </w:rPr>
      <w:fldChar w:fldCharType="end"/>
    </w:r>
    <w:r>
      <w:rPr>
        <w:rStyle w:val="8"/>
        <w:rFonts w:hint="eastAsia" w:ascii="宋体" w:hAnsi="宋体"/>
        <w:sz w:val="28"/>
        <w:szCs w:val="28"/>
      </w:rPr>
      <w:t xml:space="preserve"> —</w:t>
    </w:r>
    <w:r>
      <w:rPr>
        <w:rStyle w:val="8"/>
        <w:rFonts w:hint="eastAsia" w:ascii="宋体" w:hAnsi="宋体"/>
        <w:color w:val="FFFFFF"/>
        <w:sz w:val="28"/>
        <w:szCs w:val="28"/>
      </w:rPr>
      <w:t>—</w:t>
    </w:r>
    <w:r>
      <w:rPr>
        <w:rStyle w:val="8"/>
        <w:rFonts w:hint="eastAsia" w:ascii="宋体" w:hAnsi="宋体"/>
        <w:sz w:val="28"/>
        <w:szCs w:val="28"/>
      </w:rPr>
      <w:t xml:space="preserve"> </w:t>
    </w:r>
  </w:p>
  <w:p>
    <w:pPr>
      <w:pStyle w:val="5"/>
      <w:ind w:right="360"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outside" w:y="1"/>
      <w:ind w:firstLine="0" w:firstLineChars="0"/>
      <w:rPr>
        <w:rStyle w:val="8"/>
        <w:rFonts w:ascii="宋体" w:hAnsi="宋体"/>
        <w:sz w:val="28"/>
        <w:szCs w:val="28"/>
      </w:rPr>
    </w:pPr>
    <w:r>
      <w:rPr>
        <w:rStyle w:val="8"/>
        <w:rFonts w:hint="eastAsia" w:ascii="宋体" w:hAnsi="宋体"/>
        <w:color w:val="FFFFFF"/>
        <w:sz w:val="28"/>
        <w:szCs w:val="28"/>
      </w:rPr>
      <w:t>字</w:t>
    </w:r>
    <w:r>
      <w:rPr>
        <w:rStyle w:val="8"/>
        <w:rFonts w:hint="eastAsia" w:ascii="宋体" w:hAnsi="宋体"/>
        <w:sz w:val="28"/>
        <w:szCs w:val="28"/>
      </w:rPr>
      <w:t xml:space="preserve">— </w:t>
    </w:r>
    <w:r>
      <w:rPr>
        <w:rFonts w:ascii="宋体" w:hAnsi="宋体"/>
        <w:sz w:val="28"/>
        <w:szCs w:val="28"/>
      </w:rPr>
      <w:fldChar w:fldCharType="begin"/>
    </w:r>
    <w:r>
      <w:rPr>
        <w:rStyle w:val="8"/>
        <w:rFonts w:ascii="宋体" w:hAnsi="宋体"/>
        <w:sz w:val="28"/>
        <w:szCs w:val="28"/>
      </w:rPr>
      <w:instrText xml:space="preserve">PAGE  </w:instrText>
    </w:r>
    <w:r>
      <w:rPr>
        <w:rFonts w:ascii="宋体" w:hAnsi="宋体"/>
        <w:sz w:val="28"/>
        <w:szCs w:val="28"/>
      </w:rPr>
      <w:fldChar w:fldCharType="separate"/>
    </w:r>
    <w:r>
      <w:rPr>
        <w:rStyle w:val="8"/>
        <w:rFonts w:ascii="宋体" w:hAnsi="宋体"/>
        <w:sz w:val="28"/>
        <w:szCs w:val="28"/>
      </w:rPr>
      <w:t>118</w:t>
    </w:r>
    <w:r>
      <w:rPr>
        <w:rFonts w:ascii="宋体" w:hAnsi="宋体"/>
        <w:sz w:val="28"/>
        <w:szCs w:val="28"/>
      </w:rPr>
      <w:fldChar w:fldCharType="end"/>
    </w:r>
    <w:r>
      <w:rPr>
        <w:rStyle w:val="8"/>
        <w:rFonts w:hint="eastAsia" w:ascii="宋体" w:hAnsi="宋体"/>
        <w:sz w:val="28"/>
        <w:szCs w:val="28"/>
      </w:rPr>
      <w:t xml:space="preserve"> —</w:t>
    </w:r>
  </w:p>
  <w:p>
    <w:pPr>
      <w:pStyle w:val="5"/>
      <w:ind w:right="360"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right="360"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right="360" w:firstLine="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40" w:lineRule="auto"/>
      <w:ind w:left="561"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3AA71E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Arial"/>
      <w:kern w:val="2"/>
      <w:sz w:val="24"/>
      <w:szCs w:val="22"/>
      <w:lang w:val="en-US" w:eastAsia="zh-CN" w:bidi="ar-SA"/>
    </w:rPr>
  </w:style>
  <w:style w:type="paragraph" w:styleId="2">
    <w:name w:val="heading 1"/>
    <w:basedOn w:val="1"/>
    <w:next w:val="1"/>
    <w:qFormat/>
    <w:uiPriority w:val="0"/>
    <w:pPr>
      <w:spacing w:line="584" w:lineRule="exact"/>
      <w:jc w:val="left"/>
      <w:outlineLvl w:val="0"/>
    </w:pPr>
    <w:rPr>
      <w:rFonts w:eastAsia="黑体" w:cs="Times New Roman"/>
      <w:bCs/>
      <w:kern w:val="44"/>
      <w:sz w:val="32"/>
      <w:szCs w:val="44"/>
    </w:rPr>
  </w:style>
  <w:style w:type="paragraph" w:styleId="3">
    <w:name w:val="heading 2"/>
    <w:basedOn w:val="1"/>
    <w:next w:val="1"/>
    <w:unhideWhenUsed/>
    <w:qFormat/>
    <w:uiPriority w:val="0"/>
    <w:pPr>
      <w:spacing w:line="584" w:lineRule="exact"/>
      <w:outlineLvl w:val="1"/>
    </w:pPr>
    <w:rPr>
      <w:rFonts w:eastAsia="仿宋_GB2312" w:cs="Times New Roman"/>
      <w:b/>
      <w:bCs/>
      <w:sz w:val="32"/>
      <w:szCs w:val="32"/>
    </w:rPr>
  </w:style>
  <w:style w:type="paragraph" w:styleId="4">
    <w:name w:val="heading 3"/>
    <w:basedOn w:val="1"/>
    <w:next w:val="1"/>
    <w:unhideWhenUsed/>
    <w:qFormat/>
    <w:uiPriority w:val="0"/>
    <w:pPr>
      <w:spacing w:line="584" w:lineRule="exact"/>
      <w:outlineLvl w:val="2"/>
    </w:pPr>
    <w:rPr>
      <w:rFonts w:eastAsia="仿宋_GB2312" w:cs="Times New Roman"/>
      <w:b/>
      <w:bCs/>
      <w:sz w:val="32"/>
      <w:szCs w:val="32"/>
    </w:rPr>
  </w:style>
  <w:style w:type="character" w:default="1" w:styleId="7">
    <w:name w:val="Default Paragraph Font"/>
    <w:semiHidden/>
    <w:uiPriority w:val="0"/>
  </w:style>
  <w:style w:type="table" w:default="1" w:styleId="9">
    <w:name w:val="Normal Table"/>
    <w:semiHidden/>
    <w:uiPriority w:val="0"/>
    <w:tblPr>
      <w:tblLayout w:type="fixed"/>
      <w:tblCellMar>
        <w:top w:w="0" w:type="dxa"/>
        <w:left w:w="108" w:type="dxa"/>
        <w:bottom w:w="0" w:type="dxa"/>
        <w:right w:w="108" w:type="dxa"/>
      </w:tblCellMar>
    </w:tblPr>
  </w:style>
  <w:style w:type="paragraph" w:styleId="5">
    <w:name w:val="footer"/>
    <w:basedOn w:val="1"/>
    <w:uiPriority w:val="0"/>
    <w:pPr>
      <w:tabs>
        <w:tab w:val="center" w:pos="4153"/>
        <w:tab w:val="right" w:pos="8306"/>
      </w:tabs>
      <w:snapToGrid w:val="0"/>
      <w:spacing w:line="240" w:lineRule="auto"/>
      <w:jc w:val="left"/>
    </w:pPr>
    <w:rPr>
      <w:sz w:val="18"/>
      <w:szCs w:val="18"/>
    </w:rPr>
  </w:style>
  <w:style w:type="paragraph" w:styleId="6">
    <w:name w:val="header"/>
    <w:basedOn w:val="1"/>
    <w:uiPriority w:val="0"/>
    <w:pPr>
      <w:pBdr>
        <w:bottom w:val="single" w:color="auto" w:sz="6" w:space="1"/>
      </w:pBdr>
      <w:tabs>
        <w:tab w:val="center" w:pos="4153"/>
        <w:tab w:val="right" w:pos="8306"/>
      </w:tabs>
      <w:snapToGrid w:val="0"/>
      <w:spacing w:line="240" w:lineRule="auto"/>
      <w:jc w:val="center"/>
    </w:pPr>
    <w:rPr>
      <w:sz w:val="18"/>
      <w:szCs w:val="18"/>
    </w:rPr>
  </w:style>
  <w:style w:type="character" w:styleId="8">
    <w:name w:val="page number"/>
    <w:basedOn w:val="7"/>
    <w:uiPriority w:val="0"/>
  </w:style>
  <w:style w:type="paragraph" w:customStyle="1" w:styleId="10">
    <w:name w:val="泃河"/>
    <w:basedOn w:val="1"/>
    <w:qFormat/>
    <w:uiPriority w:val="0"/>
    <w:rPr>
      <w:rFonts w:ascii="宋体" w:hAnsi="宋体" w:cs="Times New Roman"/>
      <w:szCs w:val="28"/>
    </w:rPr>
  </w:style>
  <w:style w:type="paragraph" w:customStyle="1" w:styleId="11">
    <w:name w:val="列出段落1"/>
    <w:basedOn w:val="1"/>
    <w:qFormat/>
    <w:uiPriority w:val="0"/>
    <w:rPr>
      <w:rFonts w:cs="Times New Roman"/>
      <w:szCs w:val="24"/>
    </w:rPr>
  </w:style>
  <w:style w:type="paragraph" w:customStyle="1" w:styleId="12">
    <w:name w:val="无间隔1"/>
    <w:qFormat/>
    <w:uiPriority w:val="0"/>
    <w:pPr>
      <w:widowControl w:val="0"/>
      <w:ind w:leftChars="100" w:right="210" w:rightChars="100"/>
      <w:jc w:val="both"/>
    </w:pPr>
    <w:rPr>
      <w:rFonts w:ascii="Calibri" w:hAnsi="Calibri" w:eastAsia="宋体" w:cs="Arial"/>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1.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6" Type="http://schemas.openxmlformats.org/officeDocument/2006/relationships/fontTable" Target="fontTable.xml"/><Relationship Id="rId55" Type="http://schemas.openxmlformats.org/officeDocument/2006/relationships/customXml" Target="../customXml/item1.xml"/><Relationship Id="rId54" Type="http://schemas.openxmlformats.org/officeDocument/2006/relationships/image" Target="media/image29.png"/><Relationship Id="rId53" Type="http://schemas.openxmlformats.org/officeDocument/2006/relationships/image" Target="media/image28.png"/><Relationship Id="rId52" Type="http://schemas.openxmlformats.org/officeDocument/2006/relationships/image" Target="media/image27.png"/><Relationship Id="rId51" Type="http://schemas.openxmlformats.org/officeDocument/2006/relationships/image" Target="media/image26.png"/><Relationship Id="rId50" Type="http://schemas.openxmlformats.org/officeDocument/2006/relationships/image" Target="media/image25.emf"/><Relationship Id="rId5" Type="http://schemas.openxmlformats.org/officeDocument/2006/relationships/footer" Target="footer3.xml"/><Relationship Id="rId49" Type="http://schemas.openxmlformats.org/officeDocument/2006/relationships/image" Target="media/image24.emf"/><Relationship Id="rId48" Type="http://schemas.openxmlformats.org/officeDocument/2006/relationships/image" Target="media/image23.emf"/><Relationship Id="rId47" Type="http://schemas.openxmlformats.org/officeDocument/2006/relationships/image" Target="media/image22.emf"/><Relationship Id="rId46" Type="http://schemas.openxmlformats.org/officeDocument/2006/relationships/image" Target="media/image21.emf"/><Relationship Id="rId45" Type="http://schemas.openxmlformats.org/officeDocument/2006/relationships/image" Target="media/image20.emf"/><Relationship Id="rId44" Type="http://schemas.openxmlformats.org/officeDocument/2006/relationships/image" Target="media/image19.emf"/><Relationship Id="rId43" Type="http://schemas.openxmlformats.org/officeDocument/2006/relationships/image" Target="media/image18.emf"/><Relationship Id="rId42" Type="http://schemas.openxmlformats.org/officeDocument/2006/relationships/image" Target="media/image17.emf"/><Relationship Id="rId41" Type="http://schemas.openxmlformats.org/officeDocument/2006/relationships/image" Target="media/image16.emf"/><Relationship Id="rId40" Type="http://schemas.openxmlformats.org/officeDocument/2006/relationships/image" Target="media/image15.emf"/><Relationship Id="rId4" Type="http://schemas.openxmlformats.org/officeDocument/2006/relationships/footer" Target="footer2.xml"/><Relationship Id="rId39" Type="http://schemas.openxmlformats.org/officeDocument/2006/relationships/image" Target="media/image14.emf"/><Relationship Id="rId38" Type="http://schemas.openxmlformats.org/officeDocument/2006/relationships/image" Target="media/image13.emf"/><Relationship Id="rId37" Type="http://schemas.openxmlformats.org/officeDocument/2006/relationships/image" Target="media/image12.emf"/><Relationship Id="rId36" Type="http://schemas.openxmlformats.org/officeDocument/2006/relationships/image" Target="media/image11.emf"/><Relationship Id="rId35" Type="http://schemas.openxmlformats.org/officeDocument/2006/relationships/image" Target="media/image10.emf"/><Relationship Id="rId34" Type="http://schemas.openxmlformats.org/officeDocument/2006/relationships/image" Target="media/image9.emf"/><Relationship Id="rId33" Type="http://schemas.openxmlformats.org/officeDocument/2006/relationships/image" Target="media/image8.emf"/><Relationship Id="rId32" Type="http://schemas.openxmlformats.org/officeDocument/2006/relationships/image" Target="media/image7.emf"/><Relationship Id="rId31" Type="http://schemas.openxmlformats.org/officeDocument/2006/relationships/image" Target="media/image6.emf"/><Relationship Id="rId30" Type="http://schemas.openxmlformats.org/officeDocument/2006/relationships/image" Target="media/image5.emf"/><Relationship Id="rId3" Type="http://schemas.openxmlformats.org/officeDocument/2006/relationships/footer" Target="footer1.xml"/><Relationship Id="rId29" Type="http://schemas.openxmlformats.org/officeDocument/2006/relationships/image" Target="media/image4.emf"/><Relationship Id="rId28" Type="http://schemas.openxmlformats.org/officeDocument/2006/relationships/image" Target="media/image3.emf"/><Relationship Id="rId27" Type="http://schemas.openxmlformats.org/officeDocument/2006/relationships/image" Target="media/image2.emf"/><Relationship Id="rId26" Type="http://schemas.openxmlformats.org/officeDocument/2006/relationships/image" Target="media/image1.emf"/><Relationship Id="rId25" Type="http://schemas.openxmlformats.org/officeDocument/2006/relationships/theme" Target="theme/theme1.xml"/><Relationship Id="rId24" Type="http://schemas.openxmlformats.org/officeDocument/2006/relationships/footer" Target="footer18.xml"/><Relationship Id="rId23" Type="http://schemas.openxmlformats.org/officeDocument/2006/relationships/footer" Target="footer17.xml"/><Relationship Id="rId22" Type="http://schemas.openxmlformats.org/officeDocument/2006/relationships/footer" Target="footer16.xml"/><Relationship Id="rId21" Type="http://schemas.openxmlformats.org/officeDocument/2006/relationships/footer" Target="footer15.xml"/><Relationship Id="rId20" Type="http://schemas.openxmlformats.org/officeDocument/2006/relationships/footer" Target="footer14.xml"/><Relationship Id="rId2" Type="http://schemas.openxmlformats.org/officeDocument/2006/relationships/settings" Target="settings.xml"/><Relationship Id="rId19" Type="http://schemas.openxmlformats.org/officeDocument/2006/relationships/header" Target="header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header" Target="header3.xml"/><Relationship Id="rId10" Type="http://schemas.openxmlformats.org/officeDocument/2006/relationships/header" Target="header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Office_10.8.0.6470_F1E327BC-269C-435d-A152-05C5408002CA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Lenovo</dc:creator>
  <cp:lastModifiedBy>Lenovo</cp:lastModifiedBy>
  <dcterms:modified xsi:type="dcterms:W3CDTF">2019-12-17T02:50:35Z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2052-10.8.0.6470</vt:lpwstr>
  </property>
</Properties>
</file>