
<file path=[Content_Types].xml><?xml version="1.0" encoding="utf-8"?>
<Types xmlns="http://schemas.openxmlformats.org/package/2006/content-types">
  <Default Extension="xml" ContentType="application/xml"/>
  <Default Extension="png" ContentType="image/png"/>
  <Default Extension="jpeg" ContentType="image/jpe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drawings/drawing1.xml" ContentType="application/vnd.openxmlformats-officedocument.drawingml.chartshapes+xml"/>
  <Override PartName="/word/drawings/drawing2.xml" ContentType="application/vnd.openxmlformats-officedocument.drawingml.chartshap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两侧林地约4公顷，土门楼闸坝两侧林地约2公顷，存在杨洼闸旧河道，曹甸橡胶坝、土门楼闸坝两道堤坝，牛牧河引河河口、凤港减河河口、青龙减河河口三块绿地。因此，在与上游地区达成生态补偿协议后，可利用上述空间区块，进行跨区域生态综合整治工程。</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建议尽快实施北运河香河段生态综合整治项目，通过平原湿地净化工程建设、河滨带修复等一系列治理工程，提高北运河水环境质量，为远期水质净化功能的进一步提升打好基础。</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考虑到北运河上游水质较差，需在本区域充分自净，方能保证断面水质达标，推荐利用北运河香河段旧有河道所在地，采用人工强化法处理干流来水。</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该方案优势在于</w:t>
      </w:r>
      <w:r>
        <w:rPr>
          <w:rFonts w:hint="eastAsia" w:eastAsia="仿宋_GB2312" w:cs="Times New Roman"/>
          <w:sz w:val="32"/>
          <w:szCs w:val="32"/>
        </w:rPr>
        <w:t>：（</w:t>
      </w:r>
      <w:r>
        <w:rPr>
          <w:rFonts w:eastAsia="仿宋_GB2312" w:cs="Times New Roman"/>
          <w:sz w:val="32"/>
          <w:szCs w:val="32"/>
        </w:rPr>
        <w:t>1）利用了原始自然河道，不产生较大地土地利用性质改变，土地征收住户迁改等后续工作；</w:t>
      </w:r>
      <w:r>
        <w:rPr>
          <w:rFonts w:hint="eastAsia" w:eastAsia="仿宋_GB2312" w:cs="Times New Roman"/>
          <w:sz w:val="32"/>
          <w:szCs w:val="32"/>
        </w:rPr>
        <w:t>（</w:t>
      </w:r>
      <w:r>
        <w:rPr>
          <w:rFonts w:eastAsia="仿宋_GB2312" w:cs="Times New Roman"/>
          <w:sz w:val="32"/>
          <w:szCs w:val="32"/>
        </w:rPr>
        <w:t>2）不对基本农田、堤防林地等产生大规模影响，可以有效保护当地的现状生态环境，减少大型基础设施建设带来的生态影响；</w:t>
      </w:r>
      <w:r>
        <w:rPr>
          <w:rFonts w:hint="eastAsia" w:eastAsia="仿宋_GB2312" w:cs="Times New Roman"/>
          <w:sz w:val="32"/>
          <w:szCs w:val="32"/>
        </w:rPr>
        <w:t>（</w:t>
      </w:r>
      <w:r>
        <w:rPr>
          <w:rFonts w:eastAsia="仿宋_GB2312" w:cs="Times New Roman"/>
          <w:sz w:val="32"/>
          <w:szCs w:val="32"/>
        </w:rPr>
        <w:t>3）该位置位于北京市、河北省交界处，在该位置合作建设北运河水质治理工程措施，示范带动作用明显，凸显京津冀一体化发展的理念。</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该方案的潜在劣势如下：</w:t>
      </w:r>
      <w:r>
        <w:rPr>
          <w:rFonts w:hint="eastAsia" w:eastAsia="仿宋_GB2312" w:cs="Times New Roman"/>
          <w:sz w:val="32"/>
          <w:szCs w:val="32"/>
        </w:rPr>
        <w:t>（</w:t>
      </w:r>
      <w:r>
        <w:rPr>
          <w:rFonts w:eastAsia="仿宋_GB2312" w:cs="Times New Roman"/>
          <w:sz w:val="32"/>
          <w:szCs w:val="32"/>
        </w:rPr>
        <w:t>1）位于河道防洪范围以内，需妥善考虑设计防洪要求，净化设施需考虑防洪策略；</w:t>
      </w:r>
      <w:r>
        <w:rPr>
          <w:rFonts w:hint="eastAsia" w:eastAsia="仿宋_GB2312" w:cs="Times New Roman"/>
          <w:sz w:val="32"/>
          <w:szCs w:val="32"/>
        </w:rPr>
        <w:t>（</w:t>
      </w:r>
      <w:r>
        <w:rPr>
          <w:rFonts w:eastAsia="仿宋_GB2312" w:cs="Times New Roman"/>
          <w:sz w:val="32"/>
          <w:szCs w:val="32"/>
        </w:rPr>
        <w:t>2）设施主要采用了生物膜法充分曝气以氧化氨氮，化学沉淀法去除总磷，但对去除COD效果不明显，针对该项不足，可采用多段生物膜法，在工艺的前段生物膜中需考虑降低必要的COD浓度；</w:t>
      </w:r>
      <w:r>
        <w:rPr>
          <w:rFonts w:hint="eastAsia" w:eastAsia="仿宋_GB2312" w:cs="Times New Roman"/>
          <w:sz w:val="32"/>
          <w:szCs w:val="32"/>
        </w:rPr>
        <w:t>（</w:t>
      </w:r>
      <w:r>
        <w:rPr>
          <w:rFonts w:eastAsia="仿宋_GB2312" w:cs="Times New Roman"/>
          <w:sz w:val="32"/>
          <w:szCs w:val="32"/>
        </w:rPr>
        <w:t>3）该方案建设、运营及管理维护费用需要上下游地区合理协调；</w:t>
      </w:r>
      <w:r>
        <w:rPr>
          <w:rFonts w:hint="eastAsia" w:eastAsia="仿宋_GB2312" w:cs="Times New Roman"/>
          <w:sz w:val="32"/>
          <w:szCs w:val="32"/>
        </w:rPr>
        <w:t>（</w:t>
      </w:r>
      <w:r>
        <w:rPr>
          <w:rFonts w:eastAsia="仿宋_GB2312" w:cs="Times New Roman"/>
          <w:sz w:val="32"/>
          <w:szCs w:val="32"/>
        </w:rPr>
        <w:t>4）在春季启动阶段，可采用适宜的强化技术，以增强亚硝化菌和硝化菌的繁殖速率。</w:t>
      </w:r>
    </w:p>
    <w:p>
      <w:pPr>
        <w:pStyle w:val="3"/>
        <w:autoSpaceDN w:val="0"/>
        <w:snapToGrid w:val="0"/>
        <w:spacing w:line="590" w:lineRule="exact"/>
        <w:ind w:firstLine="643"/>
        <w:rPr>
          <w:rFonts w:eastAsia="楷体_GB2312"/>
          <w:bCs w:val="0"/>
        </w:rPr>
      </w:pPr>
      <w:bookmarkStart w:id="0" w:name="_Toc21720707"/>
      <w:r>
        <w:rPr>
          <w:rFonts w:eastAsia="楷体_GB2312"/>
          <w:bCs w:val="0"/>
        </w:rPr>
        <w:t>7.4实施</w:t>
      </w:r>
      <w:bookmarkStart w:id="1" w:name="_Toc460245380"/>
      <w:r>
        <w:rPr>
          <w:rFonts w:eastAsia="楷体_GB2312"/>
          <w:bCs w:val="0"/>
        </w:rPr>
        <w:t>秦营干渠</w:t>
      </w:r>
      <w:bookmarkEnd w:id="1"/>
      <w:r>
        <w:rPr>
          <w:rFonts w:eastAsia="楷体_GB2312"/>
          <w:bCs w:val="0"/>
        </w:rPr>
        <w:t>水力调度优化</w:t>
      </w:r>
      <w:bookmarkEnd w:id="0"/>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秦营干渠流经行政区域复杂，其在北京市辖区由凤港减河分流而出，其后流经北京</w:t>
      </w:r>
      <w:r>
        <w:rPr>
          <w:rFonts w:hint="eastAsia" w:ascii="黑体" w:hAnsi="黑体" w:eastAsia="黑体" w:cs="Times New Roman"/>
          <w:bCs/>
          <w:sz w:val="32"/>
          <w:szCs w:val="32"/>
        </w:rPr>
        <w:t>-</w:t>
      </w:r>
      <w:r>
        <w:rPr>
          <w:rFonts w:eastAsia="仿宋_GB2312" w:cs="Times New Roman"/>
          <w:sz w:val="32"/>
          <w:szCs w:val="32"/>
        </w:rPr>
        <w:t>天津市界进入天津武清区，再流经天津</w:t>
      </w:r>
      <w:r>
        <w:rPr>
          <w:rFonts w:hint="eastAsia" w:ascii="黑体" w:hAnsi="黑体" w:eastAsia="黑体" w:cs="Times New Roman"/>
          <w:bCs/>
          <w:sz w:val="32"/>
          <w:szCs w:val="32"/>
        </w:rPr>
        <w:t>-</w:t>
      </w:r>
      <w:r>
        <w:rPr>
          <w:rFonts w:eastAsia="仿宋_GB2312" w:cs="Times New Roman"/>
          <w:sz w:val="32"/>
          <w:szCs w:val="32"/>
        </w:rPr>
        <w:t>北京界汇入北运河。目前，秦营干渠已设置国控手工采样断面和水质自动监测站，而由于凤港减河断面的水质控制标准低于土门楼断面标准，凤港减河来水需要在香河县境内进行污染物削减，在秦营干渠分流量过大造成土门楼断面水质超标时，其上游污染责任归属难以界定，极易形成行政管理及治理权限混乱。</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建议秦营干渠通过建设水力设施，只保留灌渠功能，在非灌溉季不主动分流凤港减河污水量，通过北运河倒灌进行秦营干渠水量补给。非洪水季，凤港减河来水全部纳入香河县污染消减设施中，减少行政区域划分与水系交织网错引起的污染转移可能。</w:t>
      </w:r>
    </w:p>
    <w:p>
      <w:pPr>
        <w:pStyle w:val="2"/>
        <w:autoSpaceDN w:val="0"/>
        <w:adjustRightInd w:val="0"/>
        <w:snapToGrid w:val="0"/>
        <w:spacing w:line="590" w:lineRule="exact"/>
        <w:ind w:firstLine="640"/>
        <w:jc w:val="both"/>
        <w:rPr>
          <w:bCs w:val="0"/>
          <w:kern w:val="2"/>
          <w:szCs w:val="32"/>
        </w:rPr>
      </w:pPr>
      <w:bookmarkStart w:id="2" w:name="_Toc21720708"/>
      <w:r>
        <w:rPr>
          <w:bCs w:val="0"/>
          <w:kern w:val="2"/>
          <w:szCs w:val="32"/>
        </w:rPr>
        <w:t>八、重点工程项目投资及效益分析</w:t>
      </w:r>
      <w:bookmarkEnd w:id="2"/>
    </w:p>
    <w:p>
      <w:pPr>
        <w:pStyle w:val="3"/>
        <w:autoSpaceDN w:val="0"/>
        <w:snapToGrid w:val="0"/>
        <w:spacing w:line="590" w:lineRule="exact"/>
        <w:ind w:firstLine="643"/>
        <w:rPr>
          <w:rFonts w:eastAsia="楷体_GB2312"/>
          <w:bCs w:val="0"/>
        </w:rPr>
      </w:pPr>
      <w:bookmarkStart w:id="3" w:name="_Toc21720709"/>
      <w:bookmarkStart w:id="4" w:name="_Toc460430385"/>
      <w:r>
        <w:rPr>
          <w:rFonts w:eastAsia="楷体_GB2312"/>
          <w:bCs w:val="0"/>
        </w:rPr>
        <w:t>8.1项目安排</w:t>
      </w:r>
      <w:bookmarkEnd w:id="3"/>
      <w:bookmarkEnd w:id="4"/>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方案确定近期到2020年，在已经实施的3个工程项目的基础上，进一步实施4个工程项目，其中污水处理厂及配套管网建设项目1项（安平镇污水管网建设项目），河道自然生态恢复工程1项（北运河自然生态系统建设工程），河道管护工程1项（北运河沿岸及河道垃圾打捞工程），河道藻类治理及综合管控工程1项（北运河土门楼藻类治理工程及综合管控工程），合计总投资0.61亿元，具体附表1所示。</w:t>
      </w:r>
    </w:p>
    <w:p>
      <w:pPr>
        <w:pStyle w:val="3"/>
        <w:autoSpaceDN w:val="0"/>
        <w:snapToGrid w:val="0"/>
        <w:spacing w:line="590" w:lineRule="exact"/>
        <w:ind w:firstLine="643"/>
        <w:rPr>
          <w:rFonts w:eastAsia="楷体_GB2312"/>
          <w:bCs w:val="0"/>
        </w:rPr>
      </w:pPr>
      <w:bookmarkStart w:id="5" w:name="_Toc21720710"/>
      <w:r>
        <w:rPr>
          <w:rFonts w:eastAsia="楷体_GB2312"/>
          <w:bCs w:val="0"/>
        </w:rPr>
        <w:t>8.2目标可达性分析</w:t>
      </w:r>
      <w:bookmarkEnd w:id="5"/>
    </w:p>
    <w:p>
      <w:pPr>
        <w:autoSpaceDN w:val="0"/>
        <w:adjustRightInd w:val="0"/>
        <w:snapToGrid w:val="0"/>
        <w:spacing w:line="590" w:lineRule="exact"/>
        <w:ind w:firstLine="640"/>
        <w:rPr>
          <w:rFonts w:eastAsia="仿宋_GB2312" w:cs="Times New Roman"/>
          <w:sz w:val="32"/>
          <w:szCs w:val="32"/>
        </w:rPr>
      </w:pPr>
      <w:bookmarkStart w:id="6" w:name="_Toc460245389"/>
      <w:bookmarkStart w:id="7" w:name="_Toc457394815"/>
      <w:r>
        <w:rPr>
          <w:rFonts w:eastAsia="仿宋_GB2312" w:cs="Times New Roman"/>
          <w:sz w:val="32"/>
          <w:szCs w:val="32"/>
        </w:rPr>
        <w:t>北运河达标方案拟综合通过控制单元内点源污染治理、非点源全面控制、河道水生态修复等综合措施，从污染产生的源头开始减少污染物向水中排放，同时提高河道自净能力，相关措施可切实提高北运河香河段水环境质量，确保在上游来水达标情况下，下游来水断面出水达标；上游来水不达标状况下，下游出境水质优于上游断面来水。</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根据水质模型分析结果，王家摆入境及土门楼出境达到地表水V类标准，氨氮指标放宽至4mg/</w:t>
      </w:r>
      <w:r>
        <w:rPr>
          <w:rFonts w:hint="eastAsia" w:eastAsia="仿宋_GB2312" w:cs="Times New Roman"/>
          <w:sz w:val="32"/>
          <w:szCs w:val="32"/>
        </w:rPr>
        <w:t>L</w:t>
      </w:r>
      <w:r>
        <w:rPr>
          <w:rFonts w:eastAsia="仿宋_GB2312" w:cs="Times New Roman"/>
          <w:sz w:val="32"/>
          <w:szCs w:val="32"/>
        </w:rPr>
        <w:t>，凤港减河入口达到地表水V类标准，氨氮指标放宽至6mg/</w:t>
      </w:r>
      <w:r>
        <w:rPr>
          <w:rFonts w:hint="eastAsia" w:eastAsia="仿宋_GB2312" w:cs="Times New Roman"/>
          <w:sz w:val="32"/>
          <w:szCs w:val="32"/>
        </w:rPr>
        <w:t>L</w:t>
      </w:r>
      <w:r>
        <w:rPr>
          <w:rFonts w:eastAsia="仿宋_GB2312" w:cs="Times New Roman"/>
          <w:sz w:val="32"/>
          <w:szCs w:val="32"/>
        </w:rPr>
        <w:t>，出境断面土门楼断面可以稳定达标。在小友垡排水入北运河水体为V类标准时，可保证灌溉期出境水质达标；若实施凤港减河河口的生态修复措施，可保证凤港减河水质不低于V类，氨氮为4mg/L，在小友垡出水水质不低于V类的状况下，上游来水水质正常波动不影响出境水质达标。</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通过方案实施以来2016</w:t>
      </w:r>
      <w:r>
        <w:rPr>
          <w:rFonts w:hint="eastAsia" w:eastAsia="仿宋_GB2312" w:cs="Times New Roman"/>
          <w:sz w:val="32"/>
          <w:szCs w:val="32"/>
        </w:rPr>
        <w:t>—</w:t>
      </w:r>
      <w:r>
        <w:rPr>
          <w:rFonts w:eastAsia="仿宋_GB2312" w:cs="Times New Roman"/>
          <w:sz w:val="32"/>
          <w:szCs w:val="32"/>
        </w:rPr>
        <w:t>2018年水质变化趋势来看，土门楼断面主要指标年均浓度均呈下降趋势，2018年氨氮、总磷、化学需氧量和高锰酸盐指数浓度较2016年水平分别下降93.3%、88.1%、34.1%和33.9%，水质改善明显。2018年，土门楼断面各项指标达到地表水</w:t>
      </w:r>
      <w:r>
        <w:rPr>
          <w:rFonts w:cs="Times New Roman"/>
          <w:sz w:val="32"/>
          <w:szCs w:val="32"/>
        </w:rPr>
        <w:t>Ⅳ</w:t>
      </w:r>
      <w:r>
        <w:rPr>
          <w:rFonts w:eastAsia="仿宋_GB2312" w:cs="Times New Roman"/>
          <w:sz w:val="32"/>
          <w:szCs w:val="32"/>
        </w:rPr>
        <w:t>类水体标准，达到考核要求，已提前一年完成消除劣V类任务。</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方案建议继续巩固北运河河道周边和流域内的各类点、面源治理成果，同时深入推进其他未实施工程项目尽快实施落地，正在实施工程措施尽快完工，充分发挥环境效益。通过方案实施，北运河及周边区域水环境改善效果可以得到进一步巩固和加强，可以确保土门楼断面水质稳定达标。</w:t>
      </w:r>
    </w:p>
    <w:p>
      <w:pPr>
        <w:pStyle w:val="3"/>
        <w:autoSpaceDN w:val="0"/>
        <w:snapToGrid w:val="0"/>
        <w:spacing w:line="590" w:lineRule="exact"/>
        <w:ind w:firstLine="643"/>
        <w:rPr>
          <w:rFonts w:eastAsia="楷体_GB2312"/>
          <w:bCs w:val="0"/>
        </w:rPr>
      </w:pPr>
      <w:bookmarkStart w:id="8" w:name="_Toc21720711"/>
      <w:r>
        <w:rPr>
          <w:rFonts w:eastAsia="楷体_GB2312"/>
          <w:bCs w:val="0"/>
        </w:rPr>
        <w:t>8.3效益分析</w:t>
      </w:r>
      <w:bookmarkEnd w:id="6"/>
      <w:bookmarkEnd w:id="8"/>
    </w:p>
    <w:bookmarkEnd w:id="7"/>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方案的实施的效益包括生态环境效益、投融资效益、管理效益和社会效益等。</w:t>
      </w:r>
    </w:p>
    <w:p>
      <w:pPr>
        <w:adjustRightInd w:val="0"/>
        <w:snapToGrid w:val="0"/>
        <w:spacing w:line="590" w:lineRule="exact"/>
        <w:ind w:firstLine="643"/>
        <w:rPr>
          <w:rFonts w:eastAsia="仿宋_GB2312" w:cs="Times New Roman"/>
          <w:b/>
          <w:sz w:val="32"/>
          <w:szCs w:val="32"/>
        </w:rPr>
      </w:pPr>
      <w:bookmarkStart w:id="9" w:name="_Toc460245390"/>
      <w:r>
        <w:rPr>
          <w:rFonts w:eastAsia="仿宋_GB2312" w:cs="Times New Roman"/>
          <w:b/>
          <w:sz w:val="32"/>
          <w:szCs w:val="32"/>
        </w:rPr>
        <w:t>8.3.1生态环境效益</w:t>
      </w:r>
      <w:bookmarkEnd w:id="9"/>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通过北运河流域水污染治理项目的实施，将进一步降低入河污染物的排放总量，水环境质量得到显著改善，生产生活污水得到有效处置，河流生态环境质量全面提升，河清、岸绿、景美的生态保护格局基本形成。此外，人工湿地工程建成后，将改善滨河岸带景观，为营建美丽乡村奠定基础。</w:t>
      </w:r>
    </w:p>
    <w:p>
      <w:pPr>
        <w:adjustRightInd w:val="0"/>
        <w:snapToGrid w:val="0"/>
        <w:spacing w:line="590" w:lineRule="exact"/>
        <w:ind w:firstLine="643"/>
        <w:rPr>
          <w:rFonts w:eastAsia="仿宋_GB2312" w:cs="Times New Roman"/>
          <w:b/>
          <w:sz w:val="32"/>
          <w:szCs w:val="32"/>
        </w:rPr>
      </w:pPr>
      <w:bookmarkStart w:id="10" w:name="_Toc460245391"/>
      <w:r>
        <w:rPr>
          <w:rFonts w:eastAsia="仿宋_GB2312" w:cs="Times New Roman"/>
          <w:b/>
          <w:sz w:val="32"/>
          <w:szCs w:val="32"/>
        </w:rPr>
        <w:t>8.3.2投融资效益</w:t>
      </w:r>
      <w:bookmarkEnd w:id="10"/>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按照多元化投资投入的原则，投资概算包括中央财政投入、地方财政投入、社会融资三部分构成，体现国家重点扶持引导地方配合实施社会积极参与的融资原则。北运河水污染治理工程所涉及的项目将力争省、市水污染防治资金支持项目。并在中央资金的引导下，地方自筹资金积极地展开水污染综合治理工程，有效解决北运河流域水环境问题，形成良好的环境效益、管理效益和社会效益等。</w:t>
      </w:r>
      <w:bookmarkStart w:id="11" w:name="_Toc460245392"/>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8.3.3管理效益</w:t>
      </w:r>
      <w:bookmarkEnd w:id="11"/>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本方案实施后将建立工程进度管理制度、建设单位现场督察制度，建设项目环境保护监督管理制度等一系列管理制度，固化项目管理经验。同时进一步加大对建设环境保护工程的长效管理机制的建设，建立河流污染整治巩固长效机制和村镇污水处理设施长效运行管理机制。环境管理体系的完善将有效促进区域水污染防治工作，同时，将为本市其他水体水质达标方案实施提供借鉴经验。</w:t>
      </w:r>
      <w:bookmarkStart w:id="12" w:name="_Toc460245393"/>
    </w:p>
    <w:p>
      <w:pPr>
        <w:adjustRightInd w:val="0"/>
        <w:snapToGrid w:val="0"/>
        <w:spacing w:line="590" w:lineRule="exact"/>
        <w:ind w:firstLine="643"/>
        <w:rPr>
          <w:rFonts w:eastAsia="仿宋_GB2312" w:cs="Times New Roman"/>
          <w:b/>
          <w:sz w:val="32"/>
          <w:szCs w:val="32"/>
        </w:rPr>
      </w:pPr>
      <w:r>
        <w:rPr>
          <w:rFonts w:eastAsia="仿宋_GB2312" w:cs="Times New Roman"/>
          <w:b/>
          <w:sz w:val="32"/>
          <w:szCs w:val="32"/>
        </w:rPr>
        <w:t>8.3.4社会效益</w:t>
      </w:r>
      <w:bookmarkEnd w:id="12"/>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方案实施后将有效促进北运河流域区域水污染物的减少、生态环境的改善、资源的合理化再生，推动生态农业、生态养殖、生态旅游等产业的发展，保证了区域的可持续发展，为居民提供更好的生态宜居环境。其社会效益主要表现在以下几个方面：</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（1）改善自然环境，促进社会稳定。本方案的实施，将使农村生活污水等处理设施逐步完善，区域生态环境得到改善，人居环境大幅提升，居民的健康水平和生活质量全方位提高，有效促进社会稳定发展。</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2）促进和保障旅游业的发展。本项目的实施可以使区域水体得到一定程度的改善，并通过工程建设的方式增加北运河周边的水域和水景面积，使湿地系统与自然水景相交融，在北运河河畔形成一处和谐美观的生态景观，从而促进香河县生态旅游业的发展，提高旅游价值。</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3）提高公众素质，促进区域文明发展。通过方案实施，公众生态环境意识进一步增强，社会生态文明建设得到显著提升，经济社会与资源环境可持续协调发展的态势基本形成，从而促进香河县物质文明、政治文明、精神文明与生态文明建设协调发展。</w:t>
      </w:r>
    </w:p>
    <w:p>
      <w:pPr>
        <w:pStyle w:val="2"/>
        <w:autoSpaceDN w:val="0"/>
        <w:adjustRightInd w:val="0"/>
        <w:snapToGrid w:val="0"/>
        <w:spacing w:line="590" w:lineRule="exact"/>
        <w:ind w:firstLine="640"/>
        <w:jc w:val="both"/>
        <w:rPr>
          <w:bCs w:val="0"/>
          <w:kern w:val="2"/>
          <w:szCs w:val="32"/>
        </w:rPr>
      </w:pPr>
      <w:bookmarkStart w:id="13" w:name="_Toc21720712"/>
      <w:bookmarkStart w:id="14" w:name="_Toc460430388"/>
      <w:r>
        <w:rPr>
          <w:bCs w:val="0"/>
          <w:kern w:val="2"/>
          <w:szCs w:val="32"/>
        </w:rPr>
        <w:t>九、保障措施</w:t>
      </w:r>
      <w:bookmarkEnd w:id="13"/>
      <w:bookmarkEnd w:id="14"/>
    </w:p>
    <w:p>
      <w:pPr>
        <w:pStyle w:val="3"/>
        <w:autoSpaceDN w:val="0"/>
        <w:snapToGrid w:val="0"/>
        <w:spacing w:line="590" w:lineRule="exact"/>
        <w:ind w:firstLine="643"/>
        <w:rPr>
          <w:rFonts w:eastAsia="楷体_GB2312"/>
          <w:bCs w:val="0"/>
        </w:rPr>
      </w:pPr>
      <w:bookmarkStart w:id="15" w:name="_Toc460430389"/>
      <w:bookmarkStart w:id="16" w:name="_Toc21720713"/>
      <w:r>
        <w:rPr>
          <w:rFonts w:eastAsia="楷体_GB2312"/>
          <w:bCs w:val="0"/>
        </w:rPr>
        <w:t>9.1落实各方责任</w:t>
      </w:r>
      <w:bookmarkEnd w:id="15"/>
      <w:bookmarkEnd w:id="16"/>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落实党政同责、一岗双责和终身追责。</w:t>
      </w:r>
      <w:r>
        <w:rPr>
          <w:rFonts w:eastAsia="仿宋_GB2312" w:cs="Times New Roman"/>
          <w:sz w:val="32"/>
          <w:szCs w:val="32"/>
        </w:rPr>
        <w:t>香河县人民政府是本方案实施主体，要将治污任务逐一落实到有关部门、排污单位，明确任务措施、工程项目完成时限。香河县成立北运河水污染治理领导小组，由县长任组长，主管副县长任副组长，有关乡镇一把手和县有关部门的主要负责同志为成员，统筹协调推进北运河水体治理工作。实行各级党政主要领导亲自抓水污染防治工作机制，县人民政府与涉及乡镇政府签订目标责任书，分解落实目标任务，把每年方案实施情况向社会公布，并作为对领导班子和领导干部综合考核评价的依据。对未能完成水污染防治工作目标任务或者工作责任不落实的，可以通过约谈、挂牌督办、通报等方式，督促整改和落实。对因工作不力、履职缺位等导致未能有效应对水环境污染事件的，以及干预、伪造数据和没有完成年度目标任务的，要依法依纪追究有关单位和人员责任。</w:t>
      </w:r>
    </w:p>
    <w:p>
      <w:pPr>
        <w:autoSpaceDN w:val="0"/>
        <w:adjustRightInd w:val="0"/>
        <w:snapToGrid w:val="0"/>
        <w:spacing w:line="590" w:lineRule="exact"/>
        <w:ind w:firstLine="640"/>
        <w:rPr>
          <w:rFonts w:eastAsia="仿宋_GB2312" w:cs="Times New Roman"/>
          <w:sz w:val="32"/>
          <w:szCs w:val="32"/>
        </w:rPr>
      </w:pPr>
      <w:r>
        <w:rPr>
          <w:rFonts w:eastAsia="仿宋_GB2312" w:cs="Times New Roman"/>
          <w:sz w:val="32"/>
          <w:szCs w:val="32"/>
        </w:rPr>
        <w:t>按照《廊坊市水污染防治工作实施方案》的任务分工，发挥各部门职能作用和专业优势，加强协同配合，做到治理措施上部门联动，执法监督上齐抓共管，工作信息上及时沟通，形成北运河断面水质达标工作合力。</w:t>
      </w:r>
      <w:r>
        <w:rPr>
          <w:rFonts w:eastAsia="仿宋_GB2312" w:cs="Times New Roman"/>
          <w:bCs/>
          <w:sz w:val="32"/>
          <w:szCs w:val="32"/>
        </w:rPr>
        <w:t>县政府</w:t>
      </w:r>
      <w:r>
        <w:rPr>
          <w:rFonts w:eastAsia="仿宋_GB2312" w:cs="Times New Roman"/>
          <w:sz w:val="32"/>
          <w:szCs w:val="32"/>
        </w:rPr>
        <w:t>要负责组织、协调和指导北运河河长制落实和河道综合整治工作，切实加强组织领导，建立健全河道综合整治工作目标责任制，强化县、乡、村三级管理。</w:t>
      </w:r>
      <w:r>
        <w:rPr>
          <w:rFonts w:eastAsia="仿宋_GB2312" w:cs="Times New Roman"/>
          <w:bCs/>
          <w:sz w:val="32"/>
          <w:szCs w:val="32"/>
        </w:rPr>
        <w:t>县生态环境分局、水利局</w:t>
      </w:r>
      <w:r>
        <w:rPr>
          <w:rFonts w:eastAsia="仿宋_GB2312" w:cs="Times New Roman"/>
          <w:sz w:val="32"/>
          <w:szCs w:val="32"/>
        </w:rPr>
        <w:t>承担检查考核小组的牵头和日常工作，负责对各乡、村实行“段长、点长制”管理工作和乡直有关站（所）的职责履行情况进行监督检查、考核，按照有关法律法规依法打击违反水污染防治、河道管理办法等行为。</w:t>
      </w:r>
      <w:r>
        <w:rPr>
          <w:rFonts w:eastAsia="仿宋_GB2312" w:cs="Times New Roman"/>
          <w:bCs/>
          <w:sz w:val="32"/>
          <w:szCs w:val="32"/>
        </w:rPr>
        <w:t>县财政局</w:t>
      </w:r>
      <w:r>
        <w:rPr>
          <w:rFonts w:eastAsia="仿宋_GB2312" w:cs="Times New Roman"/>
          <w:sz w:val="32"/>
          <w:szCs w:val="32"/>
        </w:rPr>
        <w:t>负责多渠道筹措资金，为综合整治重点项目的推进实施提供必要的资金保障，负责财政资金使用的监管。</w:t>
      </w:r>
    </w:p>
    <w:p>
      <w:pPr>
        <w:pStyle w:val="3"/>
        <w:autoSpaceDN w:val="0"/>
        <w:snapToGrid w:val="0"/>
        <w:spacing w:line="590" w:lineRule="exact"/>
        <w:ind w:firstLine="643"/>
        <w:rPr>
          <w:rFonts w:eastAsia="楷体_GB2312"/>
          <w:bCs w:val="0"/>
        </w:rPr>
      </w:pPr>
      <w:bookmarkStart w:id="17" w:name="_Toc21720714"/>
      <w:bookmarkStart w:id="18" w:name="_Toc460430391"/>
      <w:r>
        <w:rPr>
          <w:rFonts w:eastAsia="楷体_GB2312"/>
          <w:bCs w:val="0"/>
        </w:rPr>
        <w:t>9.2完善工作机制</w:t>
      </w:r>
      <w:bookmarkEnd w:id="17"/>
      <w:bookmarkEnd w:id="18"/>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全面落实河长工作制。</w:t>
      </w:r>
      <w:r>
        <w:rPr>
          <w:rFonts w:eastAsia="仿宋_GB2312" w:cs="Times New Roman"/>
          <w:sz w:val="32"/>
          <w:szCs w:val="32"/>
        </w:rPr>
        <w:t>按照“以块为主、属地负责”的管理责任体系，香河县党政主要负责领导任河长，乡镇党政主要负责领导任辖区内河道的段长，乡镇党政班子成员和各村村委会主要负责人任点长，实行分级挂钩管理。严格落实“谁分管、谁负责”的管理工作责任制，河长全面负责北运河香河段的综合整治工作；段长全面负责北运河干支流在本乡镇河段的综合整治工作组织和实施，划分责任地段，采取专人管理与群众管理相结合的方式，切实履行综合整治职责，按照河道保洁达到“无阻水障碍物、无非法排污口、无垃圾”标准，落实河道保洁员，开展河道垃圾清理、对非法排污及破坏河道的行为及时制止、报告等工作，所做工作向河长负责；点长重点负责本乡镇内各个污染点源的治理、农村垃圾收集清理、沿岸生态保持和入河断面的环境综合整治作，并坚持开展河道的巡逻检查，做好工程维护和河道保洁等工作，所做工作向段长负责。</w:t>
      </w:r>
    </w:p>
    <w:p>
      <w:pPr>
        <w:autoSpaceDN w:val="0"/>
        <w:adjustRightInd w:val="0"/>
        <w:snapToGrid w:val="0"/>
        <w:spacing w:line="590" w:lineRule="exact"/>
        <w:ind w:firstLine="640"/>
        <w:rPr>
          <w:rFonts w:eastAsia="仿宋_GB2312" w:cs="Times New Roman"/>
          <w:bCs/>
          <w:sz w:val="32"/>
          <w:szCs w:val="32"/>
        </w:rPr>
      </w:pPr>
      <w:r>
        <w:rPr>
          <w:rFonts w:eastAsia="仿宋_GB2312" w:cs="Times New Roman"/>
          <w:bCs/>
          <w:sz w:val="32"/>
          <w:szCs w:val="32"/>
        </w:rPr>
        <w:t>建立跨流域水污染防治工作机制。</w:t>
      </w:r>
      <w:r>
        <w:rPr>
          <w:rFonts w:eastAsia="仿宋_GB2312" w:cs="Times New Roman"/>
          <w:sz w:val="32"/>
          <w:szCs w:val="32"/>
        </w:rPr>
        <w:t>建立上下游城市协同管理的流域水质保障联席会议制度，健全主次河流的水质监测及考核断面，积极应对跨境污染物，形成完善的环保责任认定体系，以生态补偿款、排污征费、污染罚款等经济手段保障上下游环保责任落实。</w:t>
      </w:r>
    </w:p>
    <w:p>
      <w:pPr>
        <w:autoSpaceDN w:val="0"/>
        <w:adjustRightInd w:val="0"/>
        <w:snapToGrid w:val="0"/>
        <w:spacing w:line="590" w:lineRule="exact"/>
        <w:ind w:firstLine="616"/>
        <w:rPr>
          <w:rFonts w:eastAsia="仿宋_GB2312" w:cs="Times New Roman"/>
          <w:spacing w:val="-6"/>
          <w:sz w:val="32"/>
          <w:szCs w:val="32"/>
        </w:rPr>
      </w:pPr>
      <w:r>
        <w:rPr>
          <w:rFonts w:eastAsia="仿宋_GB2312" w:cs="Times New Roman"/>
          <w:bCs/>
          <w:spacing w:val="-6"/>
          <w:sz w:val="32"/>
          <w:szCs w:val="32"/>
        </w:rPr>
        <w:t>完善北运河水环境监测网络。</w:t>
      </w:r>
      <w:r>
        <w:rPr>
          <w:rFonts w:eastAsia="仿宋_GB2312" w:cs="Times New Roman"/>
          <w:spacing w:val="-6"/>
          <w:sz w:val="32"/>
          <w:szCs w:val="32"/>
        </w:rPr>
        <w:t>统一规划设置北运河干流、支流（排干渠）监测断面，逐月监测水质、水量，建立常规监测、移动监测、动态预警监测“三位一体”的北运河水环境质量监测网络。</w:t>
      </w:r>
    </w:p>
    <w:p>
      <w:pPr>
        <w:pStyle w:val="3"/>
        <w:autoSpaceDN w:val="0"/>
        <w:snapToGrid w:val="0"/>
        <w:spacing w:line="590" w:lineRule="exact"/>
        <w:ind w:firstLine="643"/>
        <w:rPr>
          <w:rFonts w:eastAsia="楷体_GB2312"/>
          <w:bCs w:val="0"/>
        </w:rPr>
      </w:pPr>
      <w:bookmarkStart w:id="19" w:name="_Toc21720715"/>
      <w:bookmarkStart w:id="20" w:name="_Toc460430392"/>
      <w:r>
        <w:rPr>
          <w:rFonts w:eastAsia="楷体_GB2312"/>
          <w:bCs w:val="0"/>
        </w:rPr>
        <w:t>9.3多方筹措资金</w:t>
      </w:r>
      <w:bookmarkEnd w:id="19"/>
      <w:bookmarkEnd w:id="20"/>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加大财政支持力度。</w:t>
      </w:r>
      <w:r>
        <w:rPr>
          <w:rFonts w:eastAsia="仿宋_GB2312" w:cs="Times New Roman"/>
          <w:sz w:val="32"/>
          <w:szCs w:val="32"/>
        </w:rPr>
        <w:t>积极争取国家中央预算、国债等各类水环境保护专项建设补助资金，将水环境保护资金列入各级政府年度财政预算，用于水环境综合整治工程建设、运行管理及日常维护。对环境监管能力建设及运行费用分级予以必要保障。发展改革、环保、水利、建设、农业、畜牧、林业等部门要尽快建立相关项目库，积极争取国家、省、市的资金投入。</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引导社会资本投入。</w:t>
      </w:r>
      <w:r>
        <w:rPr>
          <w:rFonts w:eastAsia="仿宋_GB2312" w:cs="Times New Roman"/>
          <w:sz w:val="32"/>
          <w:szCs w:val="32"/>
        </w:rPr>
        <w:t>推广股权、项目收益权、特许经营权、排污权等质押融资担保。采取环境绩效合同服务、授予开发经营权益等方式，鼓励社会资本加大水环境保护投入，积极推广PPP模式，推行环境污染第三方治理。支持生态环保建设项目开展股权和债权融资，探索发行用于生态环保建设的绿色债券等融资。</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加快发展环保服务业。</w:t>
      </w:r>
      <w:r>
        <w:rPr>
          <w:rFonts w:eastAsia="仿宋_GB2312" w:cs="Times New Roman"/>
          <w:sz w:val="32"/>
          <w:szCs w:val="32"/>
        </w:rPr>
        <w:t>明确监管部门、排污企业和环保服务公司的责任和义务，完善风险分担、履约保障等机制。鼓励发展包括系统设计、设备成套、工程施工、调试运行、维护管理的环保服务总承包模式、PPP模式等。以污水、垃圾处理为重点，积极推行环境污染第三方治理。</w:t>
      </w:r>
    </w:p>
    <w:p>
      <w:pPr>
        <w:pStyle w:val="3"/>
        <w:autoSpaceDN w:val="0"/>
        <w:snapToGrid w:val="0"/>
        <w:spacing w:line="590" w:lineRule="exact"/>
        <w:ind w:firstLine="643"/>
        <w:rPr>
          <w:rFonts w:eastAsia="楷体_GB2312"/>
          <w:bCs w:val="0"/>
        </w:rPr>
      </w:pPr>
      <w:bookmarkStart w:id="21" w:name="_Toc21720716"/>
      <w:bookmarkStart w:id="22" w:name="_Toc460430393"/>
      <w:r>
        <w:rPr>
          <w:rFonts w:eastAsia="楷体_GB2312"/>
          <w:bCs w:val="0"/>
        </w:rPr>
        <w:t>9.4推动公众参与</w:t>
      </w:r>
      <w:bookmarkEnd w:id="21"/>
      <w:bookmarkEnd w:id="22"/>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加强环境保护宣传教育。</w:t>
      </w:r>
      <w:r>
        <w:rPr>
          <w:rFonts w:eastAsia="仿宋_GB2312" w:cs="Times New Roman"/>
          <w:sz w:val="32"/>
          <w:szCs w:val="32"/>
        </w:rPr>
        <w:t>把水资源、水环境保护和水情知识纳入香河县教育体系，充分发挥主流新闻媒体的舆论导向作用，提高公众，特别是北运河沿岸村庄居民对经济社会发展和环境保护客观规律的认识。</w:t>
      </w:r>
    </w:p>
    <w:p>
      <w:pPr>
        <w:autoSpaceDN w:val="0"/>
        <w:adjustRightInd w:val="0"/>
        <w:snapToGrid w:val="0"/>
        <w:spacing w:line="590" w:lineRule="exact"/>
        <w:ind w:firstLine="640"/>
        <w:rPr>
          <w:rFonts w:eastAsia="仿宋_GB2312" w:cs="Times New Roman"/>
          <w:sz w:val="32"/>
          <w:szCs w:val="32"/>
        </w:rPr>
      </w:pPr>
      <w:r>
        <w:rPr>
          <w:rFonts w:eastAsia="仿宋_GB2312" w:cs="Times New Roman"/>
          <w:bCs/>
          <w:sz w:val="32"/>
          <w:szCs w:val="32"/>
        </w:rPr>
        <w:t>支持公众、社会组织开展环保工作。</w:t>
      </w:r>
      <w:r>
        <w:rPr>
          <w:rFonts w:eastAsia="仿宋_GB2312" w:cs="Times New Roman"/>
          <w:sz w:val="32"/>
          <w:szCs w:val="32"/>
        </w:rPr>
        <w:t>健全举报制度，充分发挥环保举报热线和网络平台作用，深入开展“随手拍”等活动，依托互联网创新环境保护公众参与模式。公开曝光环境违法典型案件，限期办理群众举报投诉的环境问题，一经查实，可给予举报人奖励。通过公开听证、网络征集等形式，充分听取公众对重大决策和建设项目的意见。完善媒体参与执法、挂牌督办与公开曝光等工作机制。</w:t>
      </w:r>
    </w:p>
    <w:p>
      <w:pPr>
        <w:pStyle w:val="2"/>
        <w:autoSpaceDN w:val="0"/>
        <w:snapToGrid w:val="0"/>
        <w:spacing w:line="360" w:lineRule="auto"/>
        <w:ind w:firstLine="560"/>
        <w:jc w:val="center"/>
        <w:rPr>
          <w:rFonts w:eastAsia="仿宋_GB2312"/>
          <w:bCs w:val="0"/>
          <w:sz w:val="28"/>
          <w:szCs w:val="28"/>
        </w:rPr>
        <w:sectPr>
          <w:footerReference r:id="rId3" w:type="default"/>
          <w:footerReference r:id="rId4" w:type="even"/>
          <w:pgSz w:w="11906" w:h="16838"/>
          <w:pgMar w:top="2098" w:right="1531" w:bottom="1474" w:left="1531" w:header="851" w:footer="851" w:gutter="0"/>
          <w:cols w:space="720" w:num="1"/>
          <w:docGrid w:linePitch="312" w:charSpace="0"/>
        </w:sectPr>
      </w:pPr>
      <w:bookmarkStart w:id="23" w:name="_Toc460430394"/>
    </w:p>
    <w:bookmarkEnd w:id="23"/>
    <w:p>
      <w:pPr>
        <w:pStyle w:val="2"/>
        <w:autoSpaceDN w:val="0"/>
        <w:snapToGrid w:val="0"/>
        <w:spacing w:line="360" w:lineRule="auto"/>
        <w:ind w:firstLine="0" w:firstLineChars="0"/>
        <w:jc w:val="both"/>
        <w:rPr>
          <w:rFonts w:ascii="黑体" w:hAnsi="黑体"/>
          <w:bCs w:val="0"/>
          <w:szCs w:val="28"/>
        </w:rPr>
      </w:pPr>
      <w:bookmarkStart w:id="24" w:name="_Toc21720717"/>
      <w:r>
        <w:rPr>
          <w:rFonts w:ascii="黑体" w:hAnsi="黑体"/>
          <w:bCs w:val="0"/>
          <w:szCs w:val="28"/>
        </w:rPr>
        <w:t>附表1：</w:t>
      </w:r>
      <w:r>
        <w:rPr>
          <w:rFonts w:hint="eastAsia" w:ascii="黑体" w:hAnsi="黑体"/>
          <w:bCs w:val="0"/>
          <w:szCs w:val="28"/>
        </w:rPr>
        <w:t xml:space="preserve">                       </w:t>
      </w:r>
      <w:r>
        <w:rPr>
          <w:rFonts w:ascii="黑体" w:hAnsi="黑体"/>
          <w:bCs w:val="0"/>
          <w:szCs w:val="28"/>
        </w:rPr>
        <w:t>重点工程项目及投资汇总</w:t>
      </w:r>
      <w:bookmarkEnd w:id="24"/>
    </w:p>
    <w:tbl>
      <w:tblPr>
        <w:tblStyle w:val="11"/>
        <w:tblW w:w="13259" w:type="dxa"/>
        <w:tblInd w:w="0" w:type="dxa"/>
        <w:tblLayout w:type="fixed"/>
        <w:tblCellMar>
          <w:top w:w="15" w:type="dxa"/>
          <w:left w:w="108" w:type="dxa"/>
          <w:bottom w:w="15" w:type="dxa"/>
          <w:right w:w="108" w:type="dxa"/>
        </w:tblCellMar>
      </w:tblPr>
      <w:tblGrid>
        <w:gridCol w:w="555"/>
        <w:gridCol w:w="14"/>
        <w:gridCol w:w="817"/>
        <w:gridCol w:w="14"/>
        <w:gridCol w:w="1461"/>
        <w:gridCol w:w="1533"/>
        <w:gridCol w:w="993"/>
        <w:gridCol w:w="1198"/>
        <w:gridCol w:w="1203"/>
        <w:gridCol w:w="14"/>
        <w:gridCol w:w="4096"/>
        <w:gridCol w:w="1361"/>
      </w:tblGrid>
      <w:tr>
        <w:tblPrEx>
          <w:tblLayout w:type="fixed"/>
          <w:tblCellMar>
            <w:top w:w="15" w:type="dxa"/>
            <w:left w:w="108" w:type="dxa"/>
            <w:bottom w:w="15" w:type="dxa"/>
            <w:right w:w="108" w:type="dxa"/>
          </w:tblCellMar>
        </w:tblPrEx>
        <w:trPr>
          <w:trHeight w:val="274" w:hRule="atLeast"/>
        </w:trPr>
        <w:tc>
          <w:tcPr>
            <w:tcW w:w="569" w:type="dxa"/>
            <w:gridSpan w:val="2"/>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831" w:type="dxa"/>
            <w:gridSpan w:val="2"/>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b/>
                <w:bCs/>
                <w:color w:val="000000"/>
                <w:kern w:val="0"/>
                <w:sz w:val="21"/>
                <w:szCs w:val="21"/>
              </w:rPr>
            </w:pPr>
            <w:r>
              <w:rPr>
                <w:rFonts w:eastAsia="仿宋_GB2312" w:cs="Times New Roman"/>
                <w:b/>
                <w:bCs/>
                <w:color w:val="000000"/>
                <w:kern w:val="0"/>
                <w:sz w:val="21"/>
                <w:szCs w:val="21"/>
              </w:rPr>
              <w:t>隶属</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关系</w:t>
            </w:r>
          </w:p>
        </w:tc>
        <w:tc>
          <w:tcPr>
            <w:tcW w:w="1461"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项目类型</w:t>
            </w:r>
          </w:p>
        </w:tc>
        <w:tc>
          <w:tcPr>
            <w:tcW w:w="1533"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项目名称</w:t>
            </w:r>
          </w:p>
        </w:tc>
        <w:tc>
          <w:tcPr>
            <w:tcW w:w="993"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地点</w:t>
            </w:r>
          </w:p>
        </w:tc>
        <w:tc>
          <w:tcPr>
            <w:tcW w:w="1198"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周期</w:t>
            </w:r>
          </w:p>
        </w:tc>
        <w:tc>
          <w:tcPr>
            <w:tcW w:w="1217" w:type="dxa"/>
            <w:gridSpan w:val="2"/>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hint="eastAsia" w:eastAsia="仿宋_GB2312" w:cs="Times New Roman"/>
                <w:b/>
                <w:bCs/>
                <w:color w:val="000000"/>
                <w:kern w:val="0"/>
                <w:sz w:val="21"/>
                <w:szCs w:val="21"/>
              </w:rPr>
            </w:pPr>
            <w:r>
              <w:rPr>
                <w:rFonts w:eastAsia="仿宋_GB2312" w:cs="Times New Roman"/>
                <w:b/>
                <w:bCs/>
                <w:color w:val="000000"/>
                <w:kern w:val="0"/>
                <w:sz w:val="21"/>
                <w:szCs w:val="21"/>
              </w:rPr>
              <w:t>承担</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单位</w:t>
            </w:r>
          </w:p>
        </w:tc>
        <w:tc>
          <w:tcPr>
            <w:tcW w:w="4096"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1361" w:type="dxa"/>
            <w:vMerge w:val="restart"/>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总投资</w:t>
            </w:r>
          </w:p>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（万元）</w:t>
            </w:r>
          </w:p>
        </w:tc>
      </w:tr>
      <w:tr>
        <w:tblPrEx>
          <w:tblLayout w:type="fixed"/>
          <w:tblCellMar>
            <w:top w:w="15" w:type="dxa"/>
            <w:left w:w="108" w:type="dxa"/>
            <w:bottom w:w="15" w:type="dxa"/>
            <w:right w:w="108" w:type="dxa"/>
          </w:tblCellMar>
        </w:tblPrEx>
        <w:trPr>
          <w:trHeight w:val="594" w:hRule="atLeast"/>
        </w:trPr>
        <w:tc>
          <w:tcPr>
            <w:tcW w:w="569" w:type="dxa"/>
            <w:gridSpan w:val="2"/>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831" w:type="dxa"/>
            <w:gridSpan w:val="2"/>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1461"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1533"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993"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1198"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1217" w:type="dxa"/>
            <w:gridSpan w:val="2"/>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4096"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c>
          <w:tcPr>
            <w:tcW w:w="1361" w:type="dxa"/>
            <w:vMerge w:val="continue"/>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snapToGrid w:val="0"/>
              <w:spacing w:line="240" w:lineRule="auto"/>
              <w:ind w:firstLine="0" w:firstLineChars="0"/>
              <w:rPr>
                <w:rFonts w:eastAsia="仿宋_GB2312" w:cs="Times New Roman"/>
                <w:b/>
                <w:bCs/>
                <w:color w:val="000000"/>
                <w:kern w:val="0"/>
                <w:sz w:val="21"/>
                <w:szCs w:val="21"/>
              </w:rPr>
            </w:pPr>
          </w:p>
        </w:tc>
      </w:tr>
      <w:tr>
        <w:tblPrEx>
          <w:tblLayout w:type="fixed"/>
          <w:tblCellMar>
            <w:top w:w="15" w:type="dxa"/>
            <w:left w:w="108" w:type="dxa"/>
            <w:bottom w:w="15" w:type="dxa"/>
            <w:right w:w="108" w:type="dxa"/>
          </w:tblCellMar>
        </w:tblPrEx>
        <w:trPr>
          <w:trHeight w:val="413" w:hRule="atLeast"/>
        </w:trPr>
        <w:tc>
          <w:tcPr>
            <w:tcW w:w="11898" w:type="dxa"/>
            <w:gridSpan w:val="11"/>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合计</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6100</w:t>
            </w:r>
          </w:p>
        </w:tc>
      </w:tr>
      <w:tr>
        <w:tblPrEx>
          <w:tblLayout w:type="fixed"/>
          <w:tblCellMar>
            <w:top w:w="15" w:type="dxa"/>
            <w:left w:w="108" w:type="dxa"/>
            <w:bottom w:w="15" w:type="dxa"/>
            <w:right w:w="108" w:type="dxa"/>
          </w:tblCellMar>
        </w:tblPrEx>
        <w:trPr>
          <w:trHeight w:val="468" w:hRule="atLeast"/>
        </w:trPr>
        <w:tc>
          <w:tcPr>
            <w:tcW w:w="11898" w:type="dxa"/>
            <w:gridSpan w:val="11"/>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1</w:t>
            </w:r>
            <w:r>
              <w:rPr>
                <w:rFonts w:hint="eastAsia" w:eastAsia="仿宋_GB2312" w:cs="Times New Roman"/>
                <w:color w:val="000000"/>
                <w:kern w:val="0"/>
                <w:sz w:val="21"/>
                <w:szCs w:val="21"/>
              </w:rPr>
              <w:t>-</w:t>
            </w:r>
            <w:r>
              <w:rPr>
                <w:rFonts w:eastAsia="仿宋_GB2312" w:cs="Times New Roman"/>
                <w:b/>
                <w:bCs/>
                <w:color w:val="000000"/>
                <w:kern w:val="0"/>
                <w:sz w:val="21"/>
                <w:szCs w:val="21"/>
              </w:rPr>
              <w:t>流域污染源治理类型项目小计</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5000</w:t>
            </w:r>
          </w:p>
        </w:tc>
      </w:tr>
      <w:tr>
        <w:tblPrEx>
          <w:tblLayout w:type="fixed"/>
          <w:tblCellMar>
            <w:top w:w="15" w:type="dxa"/>
            <w:left w:w="108" w:type="dxa"/>
            <w:bottom w:w="15" w:type="dxa"/>
            <w:right w:w="108" w:type="dxa"/>
          </w:tblCellMar>
        </w:tblPrEx>
        <w:trPr>
          <w:trHeight w:val="1467" w:hRule="atLeast"/>
        </w:trPr>
        <w:tc>
          <w:tcPr>
            <w:tcW w:w="5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1</w:t>
            </w:r>
          </w:p>
        </w:tc>
        <w:tc>
          <w:tcPr>
            <w:tcW w:w="845" w:type="dxa"/>
            <w:gridSpan w:val="3"/>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461"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污水处理厂及配套管网建设</w:t>
            </w:r>
          </w:p>
        </w:tc>
        <w:tc>
          <w:tcPr>
            <w:tcW w:w="1533"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安平镇污水管网建设工程</w:t>
            </w:r>
          </w:p>
        </w:tc>
        <w:tc>
          <w:tcPr>
            <w:tcW w:w="993"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安平镇</w:t>
            </w:r>
          </w:p>
        </w:tc>
        <w:tc>
          <w:tcPr>
            <w:tcW w:w="1198"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217" w:type="dxa"/>
            <w:gridSpan w:val="2"/>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4096"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对安平镇镇区及开发区生活污水未纳入污水处理厂的地区以及生活污水有条件接入污水处理厂处理的镇区周边农村地区开展污水管网建设。</w:t>
            </w:r>
          </w:p>
        </w:tc>
        <w:tc>
          <w:tcPr>
            <w:tcW w:w="1361" w:type="dxa"/>
            <w:tcBorders>
              <w:top w:val="single" w:color="auto" w:sz="4" w:space="0"/>
              <w:left w:val="nil"/>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5000</w:t>
            </w:r>
          </w:p>
        </w:tc>
      </w:tr>
      <w:tr>
        <w:tblPrEx>
          <w:tblLayout w:type="fixed"/>
          <w:tblCellMar>
            <w:top w:w="15" w:type="dxa"/>
            <w:left w:w="108" w:type="dxa"/>
            <w:bottom w:w="15" w:type="dxa"/>
            <w:right w:w="108" w:type="dxa"/>
          </w:tblCellMar>
        </w:tblPrEx>
        <w:trPr>
          <w:trHeight w:val="453" w:hRule="atLeast"/>
        </w:trPr>
        <w:tc>
          <w:tcPr>
            <w:tcW w:w="11898" w:type="dxa"/>
            <w:gridSpan w:val="11"/>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2</w:t>
            </w:r>
            <w:r>
              <w:rPr>
                <w:rFonts w:hint="eastAsia" w:eastAsia="仿宋_GB2312" w:cs="Times New Roman"/>
                <w:color w:val="000000"/>
                <w:kern w:val="0"/>
                <w:sz w:val="21"/>
                <w:szCs w:val="21"/>
              </w:rPr>
              <w:t>-</w:t>
            </w:r>
            <w:r>
              <w:rPr>
                <w:rFonts w:eastAsia="仿宋_GB2312" w:cs="Times New Roman"/>
                <w:b/>
                <w:bCs/>
                <w:color w:val="000000"/>
                <w:kern w:val="0"/>
                <w:sz w:val="21"/>
                <w:szCs w:val="21"/>
              </w:rPr>
              <w:t>流域河道综合治理与生态修复类型项目小计</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1100</w:t>
            </w:r>
          </w:p>
        </w:tc>
      </w:tr>
      <w:tr>
        <w:tblPrEx>
          <w:tblLayout w:type="fixed"/>
          <w:tblCellMar>
            <w:top w:w="15" w:type="dxa"/>
            <w:left w:w="108" w:type="dxa"/>
            <w:bottom w:w="15" w:type="dxa"/>
            <w:right w:w="108" w:type="dxa"/>
          </w:tblCellMar>
        </w:tblPrEx>
        <w:trPr>
          <w:trHeight w:val="1162" w:hRule="atLeast"/>
        </w:trPr>
        <w:tc>
          <w:tcPr>
            <w:tcW w:w="555" w:type="dxa"/>
            <w:tcBorders>
              <w:top w:val="single" w:color="auto" w:sz="4" w:space="0"/>
              <w:left w:val="single" w:color="auto" w:sz="4" w:space="0"/>
              <w:bottom w:val="single" w:color="auto" w:sz="4" w:space="0"/>
              <w:right w:val="single" w:color="auto"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831"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w:t>
            </w:r>
          </w:p>
        </w:tc>
        <w:tc>
          <w:tcPr>
            <w:tcW w:w="1475"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河道自然生态恢复工程</w:t>
            </w:r>
          </w:p>
        </w:tc>
        <w:tc>
          <w:tcPr>
            <w:tcW w:w="153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北运河自然生态系统建设工程</w:t>
            </w:r>
          </w:p>
        </w:tc>
        <w:tc>
          <w:tcPr>
            <w:tcW w:w="9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土门楼断面上游</w:t>
            </w:r>
          </w:p>
        </w:tc>
        <w:tc>
          <w:tcPr>
            <w:tcW w:w="119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20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香河县政府</w:t>
            </w:r>
          </w:p>
        </w:tc>
        <w:tc>
          <w:tcPr>
            <w:tcW w:w="4110"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rPr>
                <w:rFonts w:hint="eastAsia" w:eastAsia="仿宋_GB2312" w:cs="Times New Roman"/>
                <w:color w:val="000000"/>
                <w:kern w:val="0"/>
                <w:sz w:val="21"/>
                <w:szCs w:val="21"/>
              </w:rPr>
            </w:pPr>
            <w:r>
              <w:rPr>
                <w:rFonts w:eastAsia="仿宋_GB2312" w:cs="Times New Roman"/>
                <w:color w:val="000000"/>
                <w:kern w:val="0"/>
                <w:sz w:val="21"/>
                <w:szCs w:val="21"/>
              </w:rPr>
              <w:t>北运河水生植物种植、生态浮岛等水生态系统建设；在北运河下游分别建设用于净化河道水质的表流人工湿地</w:t>
            </w:r>
            <w:r>
              <w:rPr>
                <w:rFonts w:hint="eastAsia" w:eastAsia="仿宋_GB2312" w:cs="Times New Roman"/>
                <w:color w:val="000000"/>
                <w:kern w:val="0"/>
                <w:sz w:val="21"/>
                <w:szCs w:val="21"/>
              </w:rPr>
              <w:t>。</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r>
        <w:tblPrEx>
          <w:tblLayout w:type="fixed"/>
          <w:tblCellMar>
            <w:top w:w="15" w:type="dxa"/>
            <w:left w:w="108" w:type="dxa"/>
            <w:bottom w:w="15" w:type="dxa"/>
            <w:right w:w="108" w:type="dxa"/>
          </w:tblCellMar>
        </w:tblPrEx>
        <w:trPr>
          <w:trHeight w:val="1051" w:hRule="atLeast"/>
        </w:trPr>
        <w:tc>
          <w:tcPr>
            <w:tcW w:w="5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2</w:t>
            </w:r>
          </w:p>
        </w:tc>
        <w:tc>
          <w:tcPr>
            <w:tcW w:w="831"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kern w:val="0"/>
                <w:sz w:val="21"/>
                <w:szCs w:val="21"/>
              </w:rPr>
              <w:t>香河县</w:t>
            </w:r>
          </w:p>
        </w:tc>
        <w:tc>
          <w:tcPr>
            <w:tcW w:w="1475"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kern w:val="0"/>
                <w:sz w:val="21"/>
                <w:szCs w:val="21"/>
              </w:rPr>
              <w:t>河道管护工程</w:t>
            </w:r>
          </w:p>
        </w:tc>
        <w:tc>
          <w:tcPr>
            <w:tcW w:w="153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北运河沿岸及河道</w:t>
            </w:r>
            <w:r>
              <w:rPr>
                <w:rFonts w:eastAsia="仿宋_GB2312" w:cs="Times New Roman"/>
                <w:kern w:val="0"/>
                <w:sz w:val="21"/>
                <w:szCs w:val="21"/>
              </w:rPr>
              <w:t>垃圾打捞工程</w:t>
            </w:r>
          </w:p>
        </w:tc>
        <w:tc>
          <w:tcPr>
            <w:tcW w:w="9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kern w:val="0"/>
                <w:sz w:val="21"/>
                <w:szCs w:val="21"/>
              </w:rPr>
              <w:t>北运河</w:t>
            </w:r>
          </w:p>
        </w:tc>
        <w:tc>
          <w:tcPr>
            <w:tcW w:w="119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kern w:val="0"/>
                <w:sz w:val="21"/>
                <w:szCs w:val="21"/>
              </w:rPr>
              <w:t>2019-2020</w:t>
            </w:r>
            <w:r>
              <w:rPr>
                <w:rFonts w:hint="eastAsia" w:eastAsia="仿宋_GB2312" w:cs="Times New Roman"/>
                <w:color w:val="000000"/>
                <w:kern w:val="0"/>
                <w:sz w:val="21"/>
                <w:szCs w:val="21"/>
              </w:rPr>
              <w:t>年</w:t>
            </w:r>
          </w:p>
        </w:tc>
        <w:tc>
          <w:tcPr>
            <w:tcW w:w="120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kern w:val="0"/>
                <w:sz w:val="21"/>
                <w:szCs w:val="21"/>
              </w:rPr>
              <w:t>香河县政府</w:t>
            </w:r>
          </w:p>
        </w:tc>
        <w:tc>
          <w:tcPr>
            <w:tcW w:w="4110"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hint="eastAsia" w:eastAsia="仿宋_GB2312" w:cs="Times New Roman"/>
                <w:color w:val="000000"/>
                <w:w w:val="95"/>
                <w:kern w:val="0"/>
                <w:sz w:val="21"/>
                <w:szCs w:val="21"/>
              </w:rPr>
            </w:pPr>
            <w:r>
              <w:rPr>
                <w:rFonts w:eastAsia="仿宋_GB2312" w:cs="Times New Roman"/>
                <w:kern w:val="0"/>
                <w:sz w:val="21"/>
                <w:szCs w:val="21"/>
              </w:rPr>
              <w:t>通过第三方购买服务定期开展北运河河道垃圾、漂浮物、水草清理等</w:t>
            </w:r>
            <w:r>
              <w:rPr>
                <w:rFonts w:hint="eastAsia" w:eastAsia="仿宋_GB2312" w:cs="Times New Roman"/>
                <w:kern w:val="0"/>
                <w:sz w:val="21"/>
                <w:szCs w:val="21"/>
              </w:rPr>
              <w:t>。</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300</w:t>
            </w:r>
          </w:p>
        </w:tc>
      </w:tr>
      <w:tr>
        <w:tblPrEx>
          <w:tblLayout w:type="fixed"/>
          <w:tblCellMar>
            <w:top w:w="15" w:type="dxa"/>
            <w:left w:w="108" w:type="dxa"/>
            <w:bottom w:w="15" w:type="dxa"/>
            <w:right w:w="108" w:type="dxa"/>
          </w:tblCellMar>
        </w:tblPrEx>
        <w:trPr>
          <w:trHeight w:val="1690" w:hRule="atLeast"/>
        </w:trPr>
        <w:tc>
          <w:tcPr>
            <w:tcW w:w="555"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bCs/>
                <w:color w:val="000000"/>
                <w:kern w:val="0"/>
                <w:sz w:val="21"/>
                <w:szCs w:val="21"/>
              </w:rPr>
            </w:pPr>
            <w:r>
              <w:rPr>
                <w:rFonts w:eastAsia="仿宋_GB2312" w:cs="Times New Roman"/>
                <w:bCs/>
                <w:color w:val="000000"/>
                <w:kern w:val="0"/>
                <w:sz w:val="21"/>
                <w:szCs w:val="21"/>
              </w:rPr>
              <w:t>3</w:t>
            </w:r>
          </w:p>
        </w:tc>
        <w:tc>
          <w:tcPr>
            <w:tcW w:w="831"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w:t>
            </w:r>
          </w:p>
        </w:tc>
        <w:tc>
          <w:tcPr>
            <w:tcW w:w="1475"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spacing w:val="-6"/>
                <w:w w:val="95"/>
                <w:kern w:val="0"/>
                <w:sz w:val="21"/>
                <w:szCs w:val="21"/>
              </w:rPr>
            </w:pPr>
            <w:r>
              <w:rPr>
                <w:rFonts w:eastAsia="仿宋_GB2312" w:cs="Times New Roman"/>
                <w:kern w:val="0"/>
                <w:sz w:val="21"/>
                <w:szCs w:val="21"/>
              </w:rPr>
              <w:t>河道藻类治理及综合管控工程</w:t>
            </w:r>
          </w:p>
        </w:tc>
        <w:tc>
          <w:tcPr>
            <w:tcW w:w="153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北运河土门楼藻类治理工程及综合管控工程</w:t>
            </w:r>
          </w:p>
        </w:tc>
        <w:tc>
          <w:tcPr>
            <w:tcW w:w="99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土门楼断面上游</w:t>
            </w:r>
          </w:p>
        </w:tc>
        <w:tc>
          <w:tcPr>
            <w:tcW w:w="1198"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2019-2020</w:t>
            </w:r>
            <w:r>
              <w:rPr>
                <w:rFonts w:hint="eastAsia" w:eastAsia="仿宋_GB2312" w:cs="Times New Roman"/>
                <w:color w:val="000000"/>
                <w:kern w:val="0"/>
                <w:sz w:val="21"/>
                <w:szCs w:val="21"/>
              </w:rPr>
              <w:t>年</w:t>
            </w:r>
          </w:p>
        </w:tc>
        <w:tc>
          <w:tcPr>
            <w:tcW w:w="1203"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adjustRightInd w:val="0"/>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香河县政府</w:t>
            </w:r>
          </w:p>
        </w:tc>
        <w:tc>
          <w:tcPr>
            <w:tcW w:w="4110" w:type="dxa"/>
            <w:gridSpan w:val="2"/>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rPr>
                <w:rFonts w:hint="eastAsia" w:eastAsia="仿宋_GB2312" w:cs="Times New Roman"/>
                <w:kern w:val="0"/>
                <w:sz w:val="21"/>
                <w:szCs w:val="21"/>
              </w:rPr>
            </w:pPr>
            <w:r>
              <w:rPr>
                <w:rFonts w:eastAsia="仿宋_GB2312" w:cs="Times New Roman"/>
                <w:kern w:val="0"/>
                <w:sz w:val="21"/>
                <w:szCs w:val="21"/>
              </w:rPr>
              <w:t>在土门楼断面上游河段采用加压除藻船、藻类抑制剂、改性土壤等措施开展藻类的治理；在土门楼断面上游1.5公里开展生态维护、藻类监测、水量调度、垃圾清理等维护水质的精细化管理措施</w:t>
            </w:r>
            <w:r>
              <w:rPr>
                <w:rFonts w:hint="eastAsia" w:eastAsia="仿宋_GB2312" w:cs="Times New Roman"/>
                <w:kern w:val="0"/>
                <w:sz w:val="21"/>
                <w:szCs w:val="21"/>
              </w:rPr>
              <w:t>。</w:t>
            </w:r>
          </w:p>
        </w:tc>
        <w:tc>
          <w:tcPr>
            <w:tcW w:w="1361" w:type="dxa"/>
            <w:tcBorders>
              <w:top w:val="single" w:color="000000" w:sz="4" w:space="0"/>
              <w:left w:val="single" w:color="000000" w:sz="4" w:space="0"/>
              <w:bottom w:val="single" w:color="000000" w:sz="4" w:space="0"/>
              <w:right w:val="single" w:color="000000" w:sz="4" w:space="0"/>
            </w:tcBorders>
            <w:tcMar>
              <w:left w:w="11" w:type="dxa"/>
              <w:right w:w="11" w:type="dxa"/>
            </w:tcMar>
            <w:vAlign w:val="center"/>
          </w:tcPr>
          <w:p>
            <w:pPr>
              <w:autoSpaceDN w:val="0"/>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300</w:t>
            </w:r>
          </w:p>
        </w:tc>
      </w:tr>
    </w:tbl>
    <w:p>
      <w:pPr>
        <w:pStyle w:val="12"/>
        <w:autoSpaceDN w:val="0"/>
        <w:snapToGrid w:val="0"/>
        <w:spacing w:line="14" w:lineRule="exact"/>
        <w:ind w:firstLine="0" w:firstLineChars="0"/>
        <w:rPr>
          <w:rFonts w:ascii="Times New Roman" w:hAnsi="Times New Roman" w:eastAsia="仿宋_GB2312"/>
          <w:sz w:val="32"/>
          <w:szCs w:val="32"/>
        </w:rPr>
        <w:sectPr>
          <w:footerReference r:id="rId5" w:type="default"/>
          <w:footerReference r:id="rId6" w:type="even"/>
          <w:pgSz w:w="16838" w:h="11906" w:orient="landscape"/>
          <w:pgMar w:top="1531" w:right="2098" w:bottom="1531" w:left="1474" w:header="851" w:footer="1531" w:gutter="0"/>
          <w:cols w:space="720" w:num="1"/>
          <w:docGrid w:linePitch="312" w:charSpace="0"/>
        </w:sectPr>
      </w:pPr>
    </w:p>
    <w:p>
      <w:pPr>
        <w:pStyle w:val="12"/>
        <w:autoSpaceDN w:val="0"/>
        <w:snapToGrid w:val="0"/>
        <w:spacing w:line="14" w:lineRule="exact"/>
        <w:ind w:firstLine="0" w:firstLineChars="0"/>
        <w:rPr>
          <w:rFonts w:hint="eastAsia" w:ascii="Times New Roman" w:hAnsi="Times New Roman" w:eastAsia="仿宋_GB2312"/>
          <w:sz w:val="32"/>
          <w:szCs w:val="32"/>
        </w:rPr>
      </w:pPr>
    </w:p>
    <w:p>
      <w:pPr>
        <w:pStyle w:val="12"/>
        <w:autoSpaceDN w:val="0"/>
        <w:snapToGrid w:val="0"/>
        <w:spacing w:line="14" w:lineRule="exact"/>
        <w:ind w:firstLine="0" w:firstLineChars="0"/>
        <w:rPr>
          <w:rFonts w:hint="eastAsia" w:ascii="Times New Roman" w:hAnsi="Times New Roman" w:eastAsia="仿宋_GB2312"/>
          <w:sz w:val="32"/>
          <w:szCs w:val="32"/>
        </w:rPr>
      </w:pPr>
    </w:p>
    <w:p>
      <w:pPr>
        <w:pStyle w:val="12"/>
        <w:autoSpaceDN w:val="0"/>
        <w:snapToGrid w:val="0"/>
        <w:spacing w:line="14" w:lineRule="exact"/>
        <w:ind w:firstLine="0" w:firstLineChars="0"/>
        <w:rPr>
          <w:rFonts w:hint="eastAsia" w:ascii="Times New Roman" w:hAnsi="Times New Roman" w:eastAsia="仿宋_GB2312"/>
          <w:sz w:val="32"/>
          <w:szCs w:val="32"/>
        </w:rPr>
      </w:pPr>
    </w:p>
    <w:p>
      <w:pPr>
        <w:pStyle w:val="12"/>
        <w:autoSpaceDN w:val="0"/>
        <w:snapToGrid w:val="0"/>
        <w:spacing w:line="14" w:lineRule="exact"/>
        <w:ind w:firstLine="0" w:firstLineChars="0"/>
        <w:rPr>
          <w:rFonts w:hint="eastAsia" w:ascii="Times New Roman" w:hAnsi="Times New Roman" w:eastAsia="仿宋_GB2312"/>
          <w:sz w:val="32"/>
          <w:szCs w:val="32"/>
        </w:rPr>
      </w:pPr>
    </w:p>
    <w:p>
      <w:pPr>
        <w:pStyle w:val="12"/>
        <w:autoSpaceDN w:val="0"/>
        <w:snapToGrid w:val="0"/>
        <w:spacing w:line="14" w:lineRule="exact"/>
        <w:ind w:firstLine="0" w:firstLineChars="0"/>
        <w:rPr>
          <w:rFonts w:hint="eastAsia" w:ascii="Times New Roman" w:hAnsi="Times New Roman" w:eastAsia="仿宋_GB2312"/>
          <w:sz w:val="32"/>
          <w:szCs w:val="32"/>
        </w:rPr>
      </w:pPr>
    </w:p>
    <w:p>
      <w:pPr>
        <w:spacing w:line="600" w:lineRule="exact"/>
        <w:ind w:firstLine="0" w:firstLineChars="0"/>
        <w:jc w:val="center"/>
        <w:rPr>
          <w:rFonts w:eastAsia="方正小标宋简体"/>
          <w:sz w:val="44"/>
          <w:szCs w:val="44"/>
        </w:rPr>
      </w:pPr>
      <w:bookmarkStart w:id="25" w:name="_Hlk9591216"/>
      <w:bookmarkEnd w:id="25"/>
      <w:r>
        <w:rPr>
          <w:rFonts w:hint="eastAsia" w:eastAsia="方正小标宋简体"/>
          <w:sz w:val="44"/>
          <w:szCs w:val="44"/>
        </w:rPr>
        <w:t>廊坊市龙河水质达标及环城水系水质</w:t>
      </w:r>
    </w:p>
    <w:p>
      <w:pPr>
        <w:spacing w:line="600" w:lineRule="exact"/>
        <w:ind w:firstLine="0" w:firstLineChars="0"/>
        <w:jc w:val="center"/>
        <w:rPr>
          <w:rFonts w:eastAsia="方正小标宋简体"/>
          <w:sz w:val="44"/>
          <w:szCs w:val="44"/>
        </w:rPr>
      </w:pPr>
      <w:r>
        <w:rPr>
          <w:rFonts w:hint="eastAsia" w:eastAsia="方正小标宋简体"/>
          <w:sz w:val="44"/>
          <w:szCs w:val="44"/>
        </w:rPr>
        <w:t>改善方案（修订版）</w:t>
      </w:r>
    </w:p>
    <w:p>
      <w:pPr>
        <w:pStyle w:val="2"/>
        <w:spacing w:line="590" w:lineRule="exact"/>
        <w:ind w:firstLine="643"/>
        <w:rPr>
          <w:rFonts w:hint="eastAsia"/>
          <w:b/>
        </w:rPr>
      </w:pPr>
      <w:bookmarkStart w:id="26" w:name="_Toc21613478"/>
    </w:p>
    <w:p>
      <w:pPr>
        <w:pStyle w:val="2"/>
        <w:spacing w:line="590" w:lineRule="exact"/>
        <w:ind w:firstLine="640"/>
      </w:pPr>
      <w:r>
        <w:rPr>
          <w:rFonts w:hint="eastAsia"/>
        </w:rPr>
        <w:t>一、总则</w:t>
      </w:r>
      <w:bookmarkEnd w:id="26"/>
    </w:p>
    <w:p>
      <w:pPr>
        <w:pStyle w:val="3"/>
        <w:spacing w:line="590" w:lineRule="exact"/>
        <w:ind w:firstLine="643"/>
        <w:rPr>
          <w:rFonts w:eastAsia="楷体_GB2312"/>
        </w:rPr>
      </w:pPr>
      <w:bookmarkStart w:id="27" w:name="_Toc21613479"/>
      <w:r>
        <w:rPr>
          <w:rFonts w:eastAsia="楷体_GB2312"/>
        </w:rPr>
        <w:t>1.1</w:t>
      </w:r>
      <w:r>
        <w:rPr>
          <w:rFonts w:hint="eastAsia" w:eastAsia="楷体_GB2312"/>
        </w:rPr>
        <w:t>修订目的</w:t>
      </w:r>
      <w:bookmarkEnd w:id="27"/>
    </w:p>
    <w:p>
      <w:pPr>
        <w:pStyle w:val="12"/>
        <w:autoSpaceDN w:val="0"/>
        <w:snapToGrid w:val="0"/>
        <w:spacing w:line="590" w:lineRule="exact"/>
        <w:ind w:firstLine="640"/>
        <w:rPr>
          <w:rFonts w:ascii="Times New Roman" w:hAnsi="Times New Roman" w:eastAsia="仿宋_GB2312"/>
        </w:rPr>
      </w:pPr>
      <w:r>
        <w:rPr>
          <w:rFonts w:hint="eastAsia" w:ascii="Times New Roman" w:hAnsi="Times New Roman" w:eastAsia="仿宋_GB2312"/>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龙河水质达标及环城水系水质改善方案》进行修订，以促进考核断面达标，消除黑臭水体，构建环境优美的城区水系。</w:t>
      </w:r>
    </w:p>
    <w:p>
      <w:pPr>
        <w:pStyle w:val="3"/>
        <w:spacing w:line="590" w:lineRule="exact"/>
        <w:ind w:firstLine="643"/>
        <w:rPr>
          <w:rFonts w:eastAsia="楷体_GB2312"/>
        </w:rPr>
      </w:pPr>
      <w:bookmarkStart w:id="28" w:name="_Toc21613480"/>
      <w:r>
        <w:rPr>
          <w:rFonts w:eastAsia="楷体_GB2312"/>
        </w:rPr>
        <w:t>1.2</w:t>
      </w:r>
      <w:r>
        <w:rPr>
          <w:rFonts w:hint="eastAsia" w:eastAsia="楷体_GB2312"/>
        </w:rPr>
        <w:t>编制依据</w:t>
      </w:r>
      <w:bookmarkEnd w:id="28"/>
    </w:p>
    <w:p>
      <w:pPr>
        <w:pStyle w:val="4"/>
        <w:spacing w:line="590" w:lineRule="exact"/>
        <w:ind w:firstLine="643"/>
      </w:pPr>
      <w:bookmarkStart w:id="29" w:name="_Toc459303063"/>
      <w:bookmarkStart w:id="30" w:name="_Toc21613481"/>
      <w:r>
        <w:t>1.2.1</w:t>
      </w:r>
      <w:r>
        <w:rPr>
          <w:rFonts w:hint="eastAsia"/>
        </w:rPr>
        <w:t>全国性法律、法规及规范性文件</w:t>
      </w:r>
      <w:bookmarkEnd w:id="29"/>
      <w:bookmarkEnd w:id="30"/>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1</w:t>
      </w:r>
      <w:r>
        <w:rPr>
          <w:rFonts w:hint="eastAsia" w:ascii="Times New Roman" w:hAnsi="Times New Roman" w:eastAsia="仿宋_GB2312"/>
          <w:sz w:val="32"/>
          <w:szCs w:val="32"/>
        </w:rPr>
        <w:t>）《中华人民共和国环境保护法》</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2</w:t>
      </w:r>
      <w:r>
        <w:rPr>
          <w:rFonts w:hint="eastAsia" w:ascii="Times New Roman" w:hAnsi="Times New Roman" w:eastAsia="仿宋_GB2312"/>
          <w:sz w:val="32"/>
          <w:szCs w:val="32"/>
        </w:rPr>
        <w:t>）《中华人民共和国水污染防治法》</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3</w:t>
      </w:r>
      <w:r>
        <w:rPr>
          <w:rFonts w:hint="eastAsia" w:ascii="Times New Roman" w:hAnsi="Times New Roman" w:eastAsia="仿宋_GB2312"/>
          <w:sz w:val="32"/>
          <w:szCs w:val="32"/>
        </w:rPr>
        <w:t>）《中华人民共和国水法》</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4</w:t>
      </w:r>
      <w:r>
        <w:rPr>
          <w:rFonts w:hint="eastAsia" w:ascii="Times New Roman" w:hAnsi="Times New Roman" w:eastAsia="仿宋_GB2312"/>
          <w:sz w:val="32"/>
          <w:szCs w:val="32"/>
        </w:rPr>
        <w:t>）《中华人民共和国清洁生产促进法》</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5</w:t>
      </w:r>
      <w:r>
        <w:rPr>
          <w:rFonts w:hint="eastAsia" w:ascii="Times New Roman" w:hAnsi="Times New Roman" w:eastAsia="仿宋_GB2312"/>
          <w:sz w:val="32"/>
          <w:szCs w:val="32"/>
        </w:rPr>
        <w:t>）《中华人民共和国渔业法》</w:t>
      </w:r>
    </w:p>
    <w:p>
      <w:pPr>
        <w:pStyle w:val="12"/>
        <w:autoSpaceDN w:val="0"/>
        <w:snapToGrid w:val="0"/>
        <w:spacing w:line="590" w:lineRule="exact"/>
        <w:ind w:firstLine="640"/>
        <w:rPr>
          <w:rFonts w:hint="eastAsia"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6</w:t>
      </w:r>
      <w:r>
        <w:rPr>
          <w:rFonts w:hint="eastAsia" w:ascii="Times New Roman" w:hAnsi="Times New Roman" w:eastAsia="仿宋_GB2312"/>
          <w:sz w:val="32"/>
          <w:szCs w:val="32"/>
        </w:rPr>
        <w:t>）《中华人民共和国固体废物污染环境防治法》</w:t>
      </w:r>
    </w:p>
    <w:p>
      <w:pPr>
        <w:pStyle w:val="12"/>
        <w:autoSpaceDN w:val="0"/>
        <w:snapToGrid w:val="0"/>
        <w:spacing w:line="590" w:lineRule="exact"/>
        <w:ind w:firstLine="640"/>
        <w:rPr>
          <w:rFonts w:ascii="Times New Roman" w:hAnsi="Times New Roman" w:eastAsia="仿宋_GB2312"/>
          <w:sz w:val="32"/>
          <w:szCs w:val="32"/>
        </w:rPr>
      </w:pPr>
      <w:r>
        <w:rPr>
          <w:rFonts w:eastAsia="仿宋_GB2312"/>
          <w:sz w:val="32"/>
          <w:szCs w:val="32"/>
        </w:rPr>
        <w:t>（</w:t>
      </w:r>
      <w:r>
        <w:rPr>
          <w:rFonts w:hint="eastAsia" w:eastAsia="仿宋_GB2312"/>
          <w:sz w:val="32"/>
          <w:szCs w:val="32"/>
        </w:rPr>
        <w:t>7</w:t>
      </w:r>
      <w:r>
        <w:rPr>
          <w:rFonts w:eastAsia="仿宋_GB2312"/>
          <w:sz w:val="32"/>
          <w:szCs w:val="32"/>
        </w:rPr>
        <w:t>）《畜禽养殖污染防治管理办法》</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（8）《</w:t>
      </w:r>
      <w:r>
        <w:rPr>
          <w:rFonts w:hint="eastAsia" w:ascii="Times New Roman" w:hAnsi="Times New Roman" w:eastAsia="仿宋_GB2312"/>
          <w:spacing w:val="2"/>
          <w:sz w:val="32"/>
          <w:szCs w:val="32"/>
        </w:rPr>
        <w:t>中共中央国务院关于加快推进生态文明建设的指导</w:t>
      </w:r>
      <w:r>
        <w:rPr>
          <w:rFonts w:hint="eastAsia" w:ascii="Times New Roman" w:hAnsi="Times New Roman" w:eastAsia="仿宋_GB2312"/>
          <w:sz w:val="32"/>
          <w:szCs w:val="32"/>
        </w:rPr>
        <w:t>意见》</w:t>
      </w:r>
    </w:p>
    <w:p>
      <w:pPr>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9</w:t>
      </w:r>
      <w:r>
        <w:rPr>
          <w:rFonts w:eastAsia="仿宋_GB2312" w:cs="Times New Roman"/>
          <w:sz w:val="32"/>
          <w:szCs w:val="32"/>
        </w:rPr>
        <w:t>）《生态文明体制改革总体方案》</w:t>
      </w:r>
    </w:p>
    <w:p>
      <w:pPr>
        <w:spacing w:line="590" w:lineRule="exact"/>
        <w:ind w:firstLine="640"/>
        <w:rPr>
          <w:rFonts w:eastAsia="仿宋_GB2312" w:cs="Times New Roman"/>
          <w:sz w:val="32"/>
          <w:szCs w:val="32"/>
        </w:rPr>
      </w:pPr>
      <w:r>
        <w:rPr>
          <w:rFonts w:eastAsia="仿宋_GB2312" w:cs="Times New Roman"/>
          <w:sz w:val="32"/>
          <w:szCs w:val="32"/>
        </w:rPr>
        <w:t>（</w:t>
      </w:r>
      <w:r>
        <w:rPr>
          <w:rFonts w:hint="eastAsia" w:eastAsia="仿宋_GB2312" w:cs="Times New Roman"/>
          <w:sz w:val="32"/>
          <w:szCs w:val="32"/>
        </w:rPr>
        <w:t>10</w:t>
      </w:r>
      <w:r>
        <w:rPr>
          <w:rFonts w:eastAsia="仿宋_GB2312" w:cs="Times New Roman"/>
          <w:sz w:val="32"/>
          <w:szCs w:val="32"/>
        </w:rPr>
        <w:t>）《</w:t>
      </w:r>
      <w:r>
        <w:rPr>
          <w:rFonts w:hint="eastAsia" w:eastAsia="仿宋_GB2312" w:cs="Times New Roman"/>
          <w:sz w:val="32"/>
          <w:szCs w:val="32"/>
        </w:rPr>
        <w:t>中共中央</w:t>
      </w:r>
      <w:r>
        <w:rPr>
          <w:rFonts w:eastAsia="仿宋_GB2312" w:cs="Times New Roman"/>
          <w:sz w:val="32"/>
          <w:szCs w:val="32"/>
        </w:rPr>
        <w:t>关于制定国民经济和社会发展第十三个五年规划的建议》</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1</w:t>
      </w:r>
      <w:r>
        <w:rPr>
          <w:rFonts w:eastAsia="仿宋_GB2312" w:cs="Times New Roman"/>
          <w:sz w:val="32"/>
          <w:szCs w:val="32"/>
        </w:rPr>
        <w:t>）《水污染防治行动计划》（国发〔2015〕17号）</w:t>
      </w:r>
    </w:p>
    <w:p>
      <w:pPr>
        <w:spacing w:line="590" w:lineRule="exact"/>
        <w:ind w:firstLine="640"/>
        <w:rPr>
          <w:rFonts w:hint="eastAsia" w:eastAsia="仿宋_GB2312" w:cs="Times New Roman"/>
          <w:sz w:val="32"/>
          <w:szCs w:val="32"/>
        </w:rPr>
      </w:pPr>
      <w:r>
        <w:rPr>
          <w:rFonts w:eastAsia="仿宋_GB2312" w:cs="Times New Roman"/>
          <w:sz w:val="32"/>
          <w:szCs w:val="32"/>
        </w:rPr>
        <w:t>（1</w:t>
      </w:r>
      <w:r>
        <w:rPr>
          <w:rFonts w:hint="eastAsia" w:eastAsia="仿宋_GB2312" w:cs="Times New Roman"/>
          <w:sz w:val="32"/>
          <w:szCs w:val="32"/>
        </w:rPr>
        <w:t>2</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国家与河北省人民政府签订的水污染防治目标责任书</w:t>
      </w:r>
      <w:r>
        <w:rPr>
          <w:rFonts w:hint="eastAsia" w:eastAsia="仿宋_GB2312" w:cs="Times New Roman"/>
          <w:sz w:val="32"/>
          <w:szCs w:val="32"/>
        </w:rPr>
        <w:t>》</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3</w:t>
      </w:r>
      <w:r>
        <w:rPr>
          <w:rFonts w:eastAsia="仿宋_GB2312" w:cs="Times New Roman"/>
          <w:sz w:val="32"/>
          <w:szCs w:val="32"/>
        </w:rPr>
        <w:t>）《国务院关于加强环境保护重点工作的意见》（国发〔2011〕35号）</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4</w:t>
      </w:r>
      <w:r>
        <w:rPr>
          <w:rFonts w:eastAsia="仿宋_GB2312" w:cs="Times New Roman"/>
          <w:sz w:val="32"/>
          <w:szCs w:val="32"/>
        </w:rPr>
        <w:t>）《</w:t>
      </w:r>
      <w:r>
        <w:rPr>
          <w:rFonts w:eastAsia="仿宋_GB2312" w:cs="Times New Roman"/>
          <w:spacing w:val="2"/>
          <w:sz w:val="32"/>
          <w:szCs w:val="32"/>
        </w:rPr>
        <w:t>国务院关于印发</w:t>
      </w:r>
      <w:r>
        <w:rPr>
          <w:rFonts w:hint="eastAsia" w:eastAsia="仿宋_GB2312" w:cs="Times New Roman"/>
          <w:spacing w:val="2"/>
          <w:sz w:val="32"/>
          <w:szCs w:val="32"/>
        </w:rPr>
        <w:t>&lt;</w:t>
      </w:r>
      <w:r>
        <w:rPr>
          <w:rFonts w:eastAsia="仿宋_GB2312" w:cs="Times New Roman"/>
          <w:spacing w:val="2"/>
          <w:sz w:val="32"/>
          <w:szCs w:val="32"/>
        </w:rPr>
        <w:t>“十二五”节能减排综合性工作方</w:t>
      </w:r>
      <w:r>
        <w:rPr>
          <w:rFonts w:eastAsia="仿宋_GB2312" w:cs="Times New Roman"/>
          <w:sz w:val="32"/>
          <w:szCs w:val="32"/>
        </w:rPr>
        <w:t>案</w:t>
      </w:r>
      <w:r>
        <w:rPr>
          <w:rFonts w:hint="eastAsia" w:eastAsia="仿宋_GB2312" w:cs="Times New Roman"/>
          <w:sz w:val="32"/>
          <w:szCs w:val="32"/>
        </w:rPr>
        <w:t>&gt;</w:t>
      </w:r>
      <w:r>
        <w:rPr>
          <w:rFonts w:eastAsia="仿宋_GB2312" w:cs="Times New Roman"/>
          <w:sz w:val="32"/>
          <w:szCs w:val="32"/>
        </w:rPr>
        <w:t>的通知》（国发〔2011〕26号）</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5</w:t>
      </w:r>
      <w:r>
        <w:rPr>
          <w:rFonts w:eastAsia="仿宋_GB2312" w:cs="Times New Roman"/>
          <w:sz w:val="32"/>
          <w:szCs w:val="32"/>
        </w:rPr>
        <w:t>）《中共中央国务院关于加快水利改革发展的决定》（中发〔2011〕1号）</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6</w:t>
      </w:r>
      <w:r>
        <w:rPr>
          <w:rFonts w:eastAsia="仿宋_GB2312" w:cs="Times New Roman"/>
          <w:sz w:val="32"/>
          <w:szCs w:val="32"/>
        </w:rPr>
        <w:t>）《国务院关于实行最严格水资源管理制度的意见》（国发〔2012〕3号）</w:t>
      </w:r>
    </w:p>
    <w:p>
      <w:pPr>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7</w:t>
      </w:r>
      <w:r>
        <w:rPr>
          <w:rFonts w:eastAsia="仿宋_GB2312" w:cs="Times New Roman"/>
          <w:sz w:val="32"/>
          <w:szCs w:val="32"/>
        </w:rPr>
        <w:t>）《国务院关于落实科学发展观加强环境保护的决定》</w:t>
      </w:r>
    </w:p>
    <w:p>
      <w:pPr>
        <w:pStyle w:val="12"/>
        <w:autoSpaceDN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1</w:t>
      </w:r>
      <w:r>
        <w:rPr>
          <w:rFonts w:hint="eastAsia" w:ascii="Times New Roman" w:hAnsi="Times New Roman" w:eastAsia="仿宋_GB2312"/>
          <w:sz w:val="32"/>
          <w:szCs w:val="32"/>
        </w:rPr>
        <w:t>8）《中共中央国务院关于全面加强生态环境保护坚决打好污染防治攻坚战的意见》</w:t>
      </w:r>
    </w:p>
    <w:p>
      <w:pPr>
        <w:pStyle w:val="12"/>
        <w:autoSpaceDN w:val="0"/>
        <w:snapToGrid w:val="0"/>
        <w:spacing w:line="590" w:lineRule="exact"/>
        <w:ind w:firstLine="640"/>
        <w:rPr>
          <w:rFonts w:hint="eastAsia" w:ascii="Times New Roman" w:hAnsi="Times New Roman" w:eastAsia="仿宋_GB2312"/>
          <w:sz w:val="32"/>
          <w:szCs w:val="32"/>
        </w:rPr>
      </w:pPr>
      <w:r>
        <w:rPr>
          <w:rFonts w:hint="eastAsia" w:ascii="Times New Roman" w:hAnsi="Times New Roman" w:eastAsia="仿宋_GB2312"/>
          <w:sz w:val="32"/>
          <w:szCs w:val="32"/>
        </w:rPr>
        <w:t>（</w:t>
      </w:r>
      <w:r>
        <w:rPr>
          <w:rFonts w:ascii="Times New Roman" w:hAnsi="Times New Roman" w:eastAsia="仿宋_GB2312"/>
          <w:sz w:val="32"/>
          <w:szCs w:val="32"/>
        </w:rPr>
        <w:t>1</w:t>
      </w:r>
      <w:r>
        <w:rPr>
          <w:rFonts w:hint="eastAsia" w:ascii="Times New Roman" w:hAnsi="Times New Roman" w:eastAsia="仿宋_GB2312"/>
          <w:sz w:val="32"/>
          <w:szCs w:val="32"/>
        </w:rPr>
        <w:t>9）《</w:t>
      </w:r>
      <w:r>
        <w:rPr>
          <w:rFonts w:hint="eastAsia" w:ascii="Times New Roman" w:hAnsi="Times New Roman" w:eastAsia="仿宋_GB2312"/>
          <w:spacing w:val="2"/>
          <w:sz w:val="32"/>
          <w:szCs w:val="32"/>
        </w:rPr>
        <w:t>生态环境部农业农村部关于印发</w:t>
      </w:r>
      <w:r>
        <w:rPr>
          <w:rFonts w:ascii="Times New Roman" w:hAnsi="Times New Roman" w:eastAsia="仿宋_GB2312"/>
          <w:spacing w:val="2"/>
          <w:sz w:val="32"/>
          <w:szCs w:val="32"/>
        </w:rPr>
        <w:t>&lt;</w:t>
      </w:r>
      <w:r>
        <w:rPr>
          <w:rFonts w:hint="eastAsia" w:ascii="Times New Roman" w:hAnsi="Times New Roman" w:eastAsia="仿宋_GB2312"/>
          <w:spacing w:val="2"/>
          <w:sz w:val="32"/>
          <w:szCs w:val="32"/>
        </w:rPr>
        <w:t>农业农村污染治</w:t>
      </w:r>
      <w:r>
        <w:rPr>
          <w:rFonts w:hint="eastAsia" w:ascii="Times New Roman" w:hAnsi="Times New Roman" w:eastAsia="仿宋_GB2312"/>
          <w:sz w:val="32"/>
          <w:szCs w:val="32"/>
        </w:rPr>
        <w:t>理攻坚战行动计划</w:t>
      </w:r>
      <w:r>
        <w:rPr>
          <w:rFonts w:ascii="Times New Roman" w:hAnsi="Times New Roman" w:eastAsia="仿宋_GB2312"/>
          <w:sz w:val="32"/>
          <w:szCs w:val="32"/>
        </w:rPr>
        <w:t>&gt;</w:t>
      </w:r>
      <w:r>
        <w:rPr>
          <w:rFonts w:hint="eastAsia" w:ascii="Times New Roman" w:hAnsi="Times New Roman" w:eastAsia="仿宋_GB2312"/>
          <w:sz w:val="32"/>
          <w:szCs w:val="32"/>
        </w:rPr>
        <w:t>的通知》（环土壤〔</w:t>
      </w:r>
      <w:r>
        <w:rPr>
          <w:rFonts w:ascii="Times New Roman" w:hAnsi="Times New Roman" w:eastAsia="仿宋_GB2312"/>
          <w:sz w:val="32"/>
          <w:szCs w:val="32"/>
        </w:rPr>
        <w:t>2018</w:t>
      </w:r>
      <w:r>
        <w:rPr>
          <w:rFonts w:hint="eastAsia" w:ascii="Times New Roman" w:hAnsi="Times New Roman" w:eastAsia="仿宋_GB2312"/>
          <w:sz w:val="32"/>
          <w:szCs w:val="32"/>
        </w:rPr>
        <w:t>〕</w:t>
      </w:r>
      <w:r>
        <w:rPr>
          <w:rFonts w:ascii="Times New Roman" w:hAnsi="Times New Roman" w:eastAsia="仿宋_GB2312"/>
          <w:sz w:val="32"/>
          <w:szCs w:val="32"/>
        </w:rPr>
        <w:t>143</w:t>
      </w:r>
      <w:r>
        <w:rPr>
          <w:rFonts w:hint="eastAsia" w:ascii="Times New Roman" w:hAnsi="Times New Roman" w:eastAsia="仿宋_GB2312"/>
          <w:sz w:val="32"/>
          <w:szCs w:val="32"/>
        </w:rPr>
        <w:t>号）</w:t>
      </w:r>
    </w:p>
    <w:p>
      <w:pPr>
        <w:pStyle w:val="12"/>
        <w:autoSpaceDN w:val="0"/>
        <w:snapToGrid w:val="0"/>
        <w:spacing w:line="590" w:lineRule="exact"/>
        <w:ind w:firstLine="640"/>
        <w:rPr>
          <w:rFonts w:ascii="Times New Roman" w:hAnsi="Times New Roman" w:eastAsia="仿宋_GB2312"/>
        </w:rPr>
      </w:pPr>
      <w:r>
        <w:rPr>
          <w:rFonts w:hint="eastAsia" w:ascii="Times New Roman" w:hAnsi="Times New Roman" w:eastAsia="仿宋_GB2312"/>
          <w:sz w:val="32"/>
          <w:szCs w:val="32"/>
        </w:rPr>
        <w:t>（</w:t>
      </w:r>
      <w:r>
        <w:rPr>
          <w:rFonts w:ascii="Times New Roman" w:hAnsi="Times New Roman" w:eastAsia="仿宋_GB2312"/>
          <w:sz w:val="32"/>
          <w:szCs w:val="32"/>
        </w:rPr>
        <w:t>20</w:t>
      </w:r>
      <w:r>
        <w:rPr>
          <w:rFonts w:hint="eastAsia" w:ascii="Times New Roman" w:hAnsi="Times New Roman" w:eastAsia="仿宋_GB2312"/>
          <w:sz w:val="32"/>
          <w:szCs w:val="32"/>
        </w:rPr>
        <w:t>）《城市黑臭水体治理攻坚战作战方案》</w:t>
      </w:r>
    </w:p>
    <w:p>
      <w:pPr>
        <w:pStyle w:val="4"/>
        <w:spacing w:line="590" w:lineRule="exact"/>
        <w:ind w:firstLine="643"/>
      </w:pPr>
      <w:bookmarkStart w:id="31" w:name="_Toc459303064"/>
      <w:bookmarkStart w:id="32" w:name="_Toc21613482"/>
      <w:r>
        <w:t>1.2.2</w:t>
      </w:r>
      <w:r>
        <w:rPr>
          <w:rFonts w:hint="eastAsia"/>
        </w:rPr>
        <w:t>引用标准</w:t>
      </w:r>
      <w:bookmarkEnd w:id="31"/>
      <w:bookmarkEnd w:id="32"/>
    </w:p>
    <w:p>
      <w:pPr>
        <w:spacing w:line="590" w:lineRule="exact"/>
        <w:ind w:firstLine="640"/>
        <w:rPr>
          <w:rFonts w:eastAsia="仿宋_GB2312" w:cs="Times New Roman"/>
          <w:sz w:val="32"/>
          <w:szCs w:val="32"/>
        </w:rPr>
      </w:pPr>
      <w:r>
        <w:rPr>
          <w:rFonts w:eastAsia="仿宋_GB2312" w:cs="Times New Roman"/>
          <w:sz w:val="32"/>
          <w:szCs w:val="32"/>
        </w:rPr>
        <w:t>（1）《地表水环境质量标准》（GB3838</w:t>
      </w:r>
      <w:r>
        <w:rPr>
          <w:rFonts w:hint="eastAsia" w:eastAsia="仿宋_GB2312" w:cs="Times New Roman"/>
          <w:sz w:val="32"/>
          <w:szCs w:val="32"/>
        </w:rPr>
        <w:t>—</w:t>
      </w:r>
      <w:r>
        <w:rPr>
          <w:rFonts w:eastAsia="仿宋_GB2312" w:cs="Times New Roman"/>
          <w:sz w:val="32"/>
          <w:szCs w:val="32"/>
        </w:rPr>
        <w:t>2002）</w:t>
      </w:r>
    </w:p>
    <w:p>
      <w:pPr>
        <w:spacing w:line="590" w:lineRule="exact"/>
        <w:ind w:firstLine="640"/>
        <w:rPr>
          <w:rFonts w:eastAsia="仿宋_GB2312" w:cs="Times New Roman"/>
          <w:sz w:val="32"/>
          <w:szCs w:val="32"/>
        </w:rPr>
      </w:pPr>
      <w:r>
        <w:rPr>
          <w:rFonts w:eastAsia="仿宋_GB2312" w:cs="Times New Roman"/>
          <w:sz w:val="32"/>
          <w:szCs w:val="32"/>
        </w:rPr>
        <w:t>（2）《农田灌溉水质标准》（GB5048</w:t>
      </w:r>
      <w:r>
        <w:rPr>
          <w:rFonts w:hint="eastAsia" w:eastAsia="仿宋_GB2312" w:cs="Times New Roman"/>
          <w:sz w:val="32"/>
          <w:szCs w:val="32"/>
        </w:rPr>
        <w:t>—</w:t>
      </w:r>
      <w:r>
        <w:rPr>
          <w:rFonts w:eastAsia="仿宋_GB2312" w:cs="Times New Roman"/>
          <w:sz w:val="32"/>
          <w:szCs w:val="32"/>
        </w:rPr>
        <w:t>2005）</w:t>
      </w:r>
    </w:p>
    <w:p>
      <w:pPr>
        <w:spacing w:line="590" w:lineRule="exact"/>
        <w:ind w:firstLine="640"/>
        <w:rPr>
          <w:rFonts w:eastAsia="仿宋_GB2312" w:cs="Times New Roman"/>
          <w:sz w:val="32"/>
          <w:szCs w:val="32"/>
        </w:rPr>
      </w:pPr>
      <w:r>
        <w:rPr>
          <w:rFonts w:eastAsia="仿宋_GB2312" w:cs="Times New Roman"/>
          <w:sz w:val="32"/>
          <w:szCs w:val="32"/>
        </w:rPr>
        <w:t>（3）《生活饮用水卫生标准》（GB5749</w:t>
      </w:r>
      <w:r>
        <w:rPr>
          <w:rFonts w:hint="eastAsia" w:eastAsia="仿宋_GB2312" w:cs="Times New Roman"/>
          <w:sz w:val="32"/>
          <w:szCs w:val="32"/>
        </w:rPr>
        <w:t>—</w:t>
      </w:r>
      <w:r>
        <w:rPr>
          <w:rFonts w:eastAsia="仿宋_GB2312" w:cs="Times New Roman"/>
          <w:sz w:val="32"/>
          <w:szCs w:val="32"/>
        </w:rPr>
        <w:t>2006）</w:t>
      </w:r>
    </w:p>
    <w:p>
      <w:pPr>
        <w:spacing w:line="590" w:lineRule="exact"/>
        <w:ind w:firstLine="640"/>
        <w:rPr>
          <w:rFonts w:eastAsia="仿宋_GB2312" w:cs="Times New Roman"/>
          <w:sz w:val="32"/>
          <w:szCs w:val="32"/>
        </w:rPr>
      </w:pPr>
      <w:r>
        <w:rPr>
          <w:rFonts w:eastAsia="仿宋_GB2312" w:cs="Times New Roman"/>
          <w:sz w:val="32"/>
          <w:szCs w:val="32"/>
        </w:rPr>
        <w:t>（4）《土壤环境质量标准》（GB15618</w:t>
      </w:r>
      <w:r>
        <w:rPr>
          <w:rFonts w:hint="eastAsia" w:eastAsia="仿宋_GB2312" w:cs="Times New Roman"/>
          <w:sz w:val="32"/>
          <w:szCs w:val="32"/>
        </w:rPr>
        <w:t>—</w:t>
      </w:r>
      <w:r>
        <w:rPr>
          <w:rFonts w:eastAsia="仿宋_GB2312" w:cs="Times New Roman"/>
          <w:sz w:val="32"/>
          <w:szCs w:val="32"/>
        </w:rPr>
        <w:t>1995）</w:t>
      </w:r>
    </w:p>
    <w:p>
      <w:pPr>
        <w:spacing w:line="590" w:lineRule="exact"/>
        <w:ind w:firstLine="640"/>
        <w:rPr>
          <w:rFonts w:eastAsia="仿宋_GB2312" w:cs="Times New Roman"/>
          <w:sz w:val="32"/>
          <w:szCs w:val="32"/>
        </w:rPr>
      </w:pPr>
      <w:r>
        <w:rPr>
          <w:rFonts w:eastAsia="仿宋_GB2312" w:cs="Times New Roman"/>
          <w:sz w:val="32"/>
          <w:szCs w:val="32"/>
        </w:rPr>
        <w:t>（5）《城镇污水处理厂污染物排放标准》（GB18918</w:t>
      </w:r>
      <w:r>
        <w:rPr>
          <w:rFonts w:hint="eastAsia" w:eastAsia="仿宋_GB2312" w:cs="Times New Roman"/>
          <w:sz w:val="32"/>
          <w:szCs w:val="32"/>
        </w:rPr>
        <w:t>—</w:t>
      </w:r>
      <w:r>
        <w:rPr>
          <w:rFonts w:eastAsia="仿宋_GB2312" w:cs="Times New Roman"/>
          <w:sz w:val="32"/>
          <w:szCs w:val="32"/>
        </w:rPr>
        <w:t>2002）</w:t>
      </w:r>
    </w:p>
    <w:p>
      <w:pPr>
        <w:spacing w:line="590" w:lineRule="exact"/>
        <w:ind w:firstLine="640"/>
        <w:rPr>
          <w:rFonts w:eastAsia="仿宋_GB2312" w:cs="Times New Roman"/>
          <w:sz w:val="32"/>
          <w:szCs w:val="32"/>
        </w:rPr>
      </w:pPr>
      <w:r>
        <w:rPr>
          <w:rFonts w:eastAsia="仿宋_GB2312" w:cs="Times New Roman"/>
          <w:sz w:val="32"/>
          <w:szCs w:val="32"/>
        </w:rPr>
        <w:t>（6）《畜禽养殖业污染物排放标准》（GB18596</w:t>
      </w:r>
      <w:r>
        <w:rPr>
          <w:rFonts w:hint="eastAsia" w:eastAsia="仿宋_GB2312" w:cs="Times New Roman"/>
          <w:sz w:val="32"/>
          <w:szCs w:val="32"/>
        </w:rPr>
        <w:t>—</w:t>
      </w:r>
      <w:r>
        <w:rPr>
          <w:rFonts w:eastAsia="仿宋_GB2312" w:cs="Times New Roman"/>
          <w:sz w:val="32"/>
          <w:szCs w:val="32"/>
        </w:rPr>
        <w:t>2001）</w:t>
      </w:r>
    </w:p>
    <w:p>
      <w:pPr>
        <w:spacing w:line="590" w:lineRule="exact"/>
        <w:ind w:firstLine="640"/>
        <w:rPr>
          <w:rFonts w:eastAsia="仿宋_GB2312" w:cs="Times New Roman"/>
          <w:sz w:val="32"/>
          <w:szCs w:val="32"/>
        </w:rPr>
      </w:pPr>
      <w:r>
        <w:rPr>
          <w:rFonts w:eastAsia="仿宋_GB2312" w:cs="Times New Roman"/>
          <w:sz w:val="32"/>
          <w:szCs w:val="32"/>
        </w:rPr>
        <w:t>（7）《农用污泥污染物控制标准》（GB4284</w:t>
      </w:r>
      <w:r>
        <w:rPr>
          <w:rFonts w:hint="eastAsia" w:eastAsia="仿宋_GB2312" w:cs="Times New Roman"/>
          <w:sz w:val="32"/>
          <w:szCs w:val="32"/>
        </w:rPr>
        <w:t>—</w:t>
      </w:r>
      <w:r>
        <w:rPr>
          <w:rFonts w:eastAsia="仿宋_GB2312" w:cs="Times New Roman"/>
          <w:sz w:val="32"/>
          <w:szCs w:val="32"/>
        </w:rPr>
        <w:t>2018）</w:t>
      </w:r>
    </w:p>
    <w:p>
      <w:pPr>
        <w:spacing w:line="590" w:lineRule="exact"/>
        <w:ind w:firstLine="640"/>
        <w:rPr>
          <w:rFonts w:eastAsia="仿宋_GB2312" w:cs="Times New Roman"/>
          <w:sz w:val="32"/>
          <w:szCs w:val="32"/>
        </w:rPr>
      </w:pPr>
      <w:r>
        <w:rPr>
          <w:rFonts w:eastAsia="仿宋_GB2312" w:cs="Times New Roman"/>
          <w:sz w:val="32"/>
          <w:szCs w:val="32"/>
        </w:rPr>
        <w:t>（8）《工业企业设计卫生标准》（GBZ1</w:t>
      </w:r>
      <w:r>
        <w:rPr>
          <w:rFonts w:hint="eastAsia" w:eastAsia="仿宋_GB2312" w:cs="Times New Roman"/>
          <w:sz w:val="32"/>
          <w:szCs w:val="32"/>
        </w:rPr>
        <w:t>—</w:t>
      </w:r>
      <w:r>
        <w:rPr>
          <w:rFonts w:eastAsia="仿宋_GB2312" w:cs="Times New Roman"/>
          <w:sz w:val="32"/>
          <w:szCs w:val="32"/>
        </w:rPr>
        <w:t>2002）</w:t>
      </w:r>
    </w:p>
    <w:p>
      <w:pPr>
        <w:spacing w:line="590" w:lineRule="exact"/>
        <w:ind w:firstLine="640"/>
        <w:rPr>
          <w:rFonts w:eastAsia="仿宋_GB2312" w:cs="Times New Roman"/>
          <w:sz w:val="32"/>
          <w:szCs w:val="32"/>
        </w:rPr>
      </w:pPr>
      <w:r>
        <w:rPr>
          <w:rFonts w:eastAsia="仿宋_GB2312" w:cs="Times New Roman"/>
          <w:sz w:val="32"/>
          <w:szCs w:val="32"/>
        </w:rPr>
        <w:t>（9）《水污染防治工作方案编制技术指南》（环办函〔2015〕1232号）</w:t>
      </w:r>
    </w:p>
    <w:p>
      <w:pPr>
        <w:spacing w:line="590" w:lineRule="exact"/>
        <w:ind w:firstLine="640"/>
        <w:rPr>
          <w:rFonts w:eastAsia="仿宋_GB2312" w:cs="Times New Roman"/>
          <w:sz w:val="32"/>
          <w:szCs w:val="32"/>
        </w:rPr>
      </w:pPr>
      <w:r>
        <w:rPr>
          <w:rFonts w:eastAsia="仿宋_GB2312" w:cs="Times New Roman"/>
          <w:sz w:val="32"/>
          <w:szCs w:val="32"/>
        </w:rPr>
        <w:t>（10）《水体达标方案编制技术指南》（环办函〔2015〕1711号）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（11）《江河湖泊生态环境保护系列技术指南》（环办〔2014〕111号）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（12）《河北省农村生活污水排放标准（DB13/2171</w:t>
      </w:r>
      <w:r>
        <w:rPr>
          <w:rFonts w:hint="eastAsia" w:eastAsia="仿宋_GB2312" w:cs="Times New Roman"/>
          <w:sz w:val="32"/>
          <w:szCs w:val="32"/>
        </w:rPr>
        <w:t>—</w:t>
      </w:r>
      <w:r>
        <w:rPr>
          <w:rFonts w:eastAsia="仿宋_GB2312" w:cs="Times New Roman"/>
          <w:sz w:val="32"/>
          <w:szCs w:val="32"/>
        </w:rPr>
        <w:t>2015）》</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（13）《河北省农村生活污水处理和垃圾处理实用技术指南》</w:t>
      </w:r>
    </w:p>
    <w:p>
      <w:pPr>
        <w:pStyle w:val="4"/>
        <w:spacing w:line="590" w:lineRule="exact"/>
        <w:ind w:firstLine="643"/>
      </w:pPr>
      <w:bookmarkStart w:id="33" w:name="_Toc459303065"/>
      <w:bookmarkStart w:id="34" w:name="_Toc21613483"/>
      <w:r>
        <w:t>1.2.3</w:t>
      </w:r>
      <w:r>
        <w:rPr>
          <w:rFonts w:hint="eastAsia"/>
        </w:rPr>
        <w:t>相关规划及</w:t>
      </w:r>
      <w:bookmarkEnd w:id="33"/>
      <w:r>
        <w:rPr>
          <w:rFonts w:hint="eastAsia"/>
        </w:rPr>
        <w:t>方案</w:t>
      </w:r>
      <w:bookmarkEnd w:id="34"/>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w:t>
      </w:r>
      <w:r>
        <w:rPr>
          <w:rFonts w:hint="eastAsia" w:eastAsia="仿宋_GB2312" w:cs="Times New Roman"/>
          <w:sz w:val="32"/>
          <w:szCs w:val="32"/>
        </w:rPr>
        <w:t>河北省人民政府</w:t>
      </w:r>
      <w:r>
        <w:rPr>
          <w:rFonts w:eastAsia="仿宋_GB2312" w:cs="Times New Roman"/>
          <w:sz w:val="32"/>
          <w:szCs w:val="32"/>
        </w:rPr>
        <w:t>关于印发&lt;河北省水污染防治工作方案&gt;的通知》（冀发〔2015〕28号）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（2）《</w:t>
      </w:r>
      <w:r>
        <w:rPr>
          <w:rFonts w:eastAsia="仿宋_GB2312" w:cs="Times New Roman"/>
          <w:spacing w:val="2"/>
          <w:sz w:val="32"/>
          <w:szCs w:val="32"/>
        </w:rPr>
        <w:t>河北省人民政府关于印发&lt;河北省生态环境保护“十</w:t>
      </w:r>
      <w:r>
        <w:rPr>
          <w:rFonts w:eastAsia="仿宋_GB2312" w:cs="Times New Roman"/>
          <w:sz w:val="32"/>
          <w:szCs w:val="32"/>
        </w:rPr>
        <w:t>三五”规划&gt;的通知》（冀政字〔2017〕10号）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（3）《</w:t>
      </w:r>
      <w:r>
        <w:rPr>
          <w:rFonts w:hint="eastAsia" w:eastAsia="仿宋_GB2312" w:cs="Times New Roman"/>
          <w:spacing w:val="2"/>
          <w:sz w:val="32"/>
          <w:szCs w:val="32"/>
        </w:rPr>
        <w:t>中共</w:t>
      </w:r>
      <w:r>
        <w:rPr>
          <w:rFonts w:eastAsia="仿宋_GB2312" w:cs="Times New Roman"/>
          <w:spacing w:val="2"/>
          <w:sz w:val="32"/>
          <w:szCs w:val="32"/>
        </w:rPr>
        <w:t>河北省委</w:t>
      </w:r>
      <w:r>
        <w:rPr>
          <w:rFonts w:hint="eastAsia" w:eastAsia="仿宋_GB2312" w:cs="Times New Roman"/>
          <w:spacing w:val="2"/>
          <w:sz w:val="32"/>
          <w:szCs w:val="32"/>
        </w:rPr>
        <w:t>河北</w:t>
      </w:r>
      <w:r>
        <w:rPr>
          <w:rFonts w:eastAsia="仿宋_GB2312" w:cs="Times New Roman"/>
          <w:spacing w:val="2"/>
          <w:sz w:val="32"/>
          <w:szCs w:val="32"/>
        </w:rPr>
        <w:t>省</w:t>
      </w:r>
      <w:r>
        <w:rPr>
          <w:rFonts w:hint="eastAsia" w:eastAsia="仿宋_GB2312" w:cs="Times New Roman"/>
          <w:spacing w:val="2"/>
          <w:sz w:val="32"/>
          <w:szCs w:val="32"/>
        </w:rPr>
        <w:t>人民</w:t>
      </w:r>
      <w:r>
        <w:rPr>
          <w:rFonts w:eastAsia="仿宋_GB2312" w:cs="Times New Roman"/>
          <w:spacing w:val="2"/>
          <w:sz w:val="32"/>
          <w:szCs w:val="32"/>
        </w:rPr>
        <w:t>政府关于全面加强生态环</w:t>
      </w:r>
      <w:r>
        <w:rPr>
          <w:rFonts w:eastAsia="仿宋_GB2312" w:cs="Times New Roman"/>
          <w:sz w:val="32"/>
          <w:szCs w:val="32"/>
        </w:rPr>
        <w:t>境保护坚决打好污染防治攻坚战的实施意见》</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（4）《河北省水污染防治工作领导小组办公室关于印发&lt;河北省碧水保卫战三年行动计划（2018</w:t>
      </w:r>
      <w:r>
        <w:rPr>
          <w:rFonts w:hint="eastAsia" w:eastAsia="仿宋_GB2312" w:cs="Times New Roman"/>
          <w:sz w:val="32"/>
          <w:szCs w:val="32"/>
        </w:rPr>
        <w:t>—</w:t>
      </w:r>
      <w:r>
        <w:rPr>
          <w:rFonts w:eastAsia="仿宋_GB2312" w:cs="Times New Roman"/>
          <w:sz w:val="32"/>
          <w:szCs w:val="32"/>
        </w:rPr>
        <w:t>2020年）&gt;的通知》（冀水领办〔2018〕123号）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（5）《</w:t>
      </w:r>
      <w:r>
        <w:rPr>
          <w:rFonts w:hint="eastAsia" w:eastAsia="仿宋_GB2312" w:cs="Times New Roman"/>
          <w:spacing w:val="2"/>
          <w:sz w:val="32"/>
          <w:szCs w:val="32"/>
        </w:rPr>
        <w:t>河北省环境保护厅</w:t>
      </w:r>
      <w:r>
        <w:rPr>
          <w:rFonts w:eastAsia="仿宋_GB2312" w:cs="Times New Roman"/>
          <w:spacing w:val="2"/>
          <w:sz w:val="32"/>
          <w:szCs w:val="32"/>
        </w:rPr>
        <w:t>关于加快推进全省农村生活污水</w:t>
      </w:r>
      <w:r>
        <w:rPr>
          <w:rFonts w:eastAsia="仿宋_GB2312" w:cs="Times New Roman"/>
          <w:sz w:val="32"/>
          <w:szCs w:val="32"/>
        </w:rPr>
        <w:t>治理工作的通知》（冀环水〔2018〕301号）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（6）《河北省农村人居环境整治三年行动实施方案（2018</w:t>
      </w:r>
      <w:r>
        <w:rPr>
          <w:rFonts w:hint="eastAsia" w:eastAsia="仿宋_GB2312" w:cs="Times New Roman"/>
          <w:sz w:val="32"/>
          <w:szCs w:val="32"/>
        </w:rPr>
        <w:t>—</w:t>
      </w:r>
      <w:r>
        <w:rPr>
          <w:rFonts w:eastAsia="仿宋_GB2312" w:cs="Times New Roman"/>
          <w:sz w:val="32"/>
          <w:szCs w:val="32"/>
        </w:rPr>
        <w:t>2020年）》（冀办发〔2018〕3号）</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（7）《河北省水污染防治工作领导小组办公室关于印发&lt;河北省农村生活污水治理行动计划&gt;的通知》</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（8）《河北省生态环境厅河北省农业农村厅关于印发&lt;河北省农业农村污染治理攻坚战实施方案&gt;的通知》</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（9）《廊坊市水污染防治工作实施方案》</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（10）《</w:t>
      </w:r>
      <w:r>
        <w:rPr>
          <w:rFonts w:hint="eastAsia" w:eastAsia="仿宋_GB2312" w:cs="Times New Roman"/>
          <w:spacing w:val="2"/>
          <w:sz w:val="32"/>
          <w:szCs w:val="32"/>
        </w:rPr>
        <w:t>廊坊市人民政府办公室</w:t>
      </w:r>
      <w:r>
        <w:rPr>
          <w:rFonts w:eastAsia="仿宋_GB2312" w:cs="Times New Roman"/>
          <w:spacing w:val="2"/>
          <w:sz w:val="32"/>
          <w:szCs w:val="32"/>
        </w:rPr>
        <w:t>关于印发&lt;廊坊市重点河流</w:t>
      </w:r>
      <w:r>
        <w:rPr>
          <w:rFonts w:eastAsia="仿宋_GB2312" w:cs="Times New Roman"/>
          <w:sz w:val="32"/>
          <w:szCs w:val="32"/>
        </w:rPr>
        <w:t>水质达标方案&gt;的通知》（廊政办〔2016〕76号）</w:t>
      </w:r>
    </w:p>
    <w:p>
      <w:pPr>
        <w:pStyle w:val="3"/>
        <w:autoSpaceDN w:val="0"/>
        <w:snapToGrid w:val="0"/>
        <w:spacing w:line="590" w:lineRule="exact"/>
        <w:ind w:firstLine="643"/>
        <w:rPr>
          <w:rFonts w:eastAsia="楷体_GB2312"/>
        </w:rPr>
      </w:pPr>
      <w:bookmarkStart w:id="35" w:name="_Toc21613484"/>
      <w:r>
        <w:rPr>
          <w:rFonts w:eastAsia="楷体_GB2312"/>
        </w:rPr>
        <w:t>1.3</w:t>
      </w:r>
      <w:r>
        <w:rPr>
          <w:rFonts w:hint="eastAsia" w:eastAsia="楷体_GB2312"/>
        </w:rPr>
        <w:t>指导思想</w:t>
      </w:r>
      <w:bookmarkEnd w:id="35"/>
    </w:p>
    <w:p>
      <w:pPr>
        <w:autoSpaceDN w:val="0"/>
        <w:snapToGrid w:val="0"/>
        <w:spacing w:line="590" w:lineRule="exact"/>
        <w:ind w:firstLine="640"/>
        <w:rPr>
          <w:rFonts w:eastAsia="仿宋_GB2312" w:cs="Times New Roman"/>
          <w:sz w:val="32"/>
          <w:szCs w:val="32"/>
        </w:rPr>
      </w:pPr>
      <w:r>
        <w:rPr>
          <w:rFonts w:eastAsia="仿宋_GB2312" w:cs="Times New Roman"/>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龙河及环城水系水生态环境质量改善为核心，统筹山水林田湖草系统治理，坚持污染防治与生态保护并重，推进水污染治理、水生态修复、水资源保护“三水共治”，强化污染源精细化管控，创新体制机制建设，落实党政各方责任，着力解决突出水生态环境问题，确保龙河及环城水系水生态环境质量持续改善，为京津冀协同发展提供有力的水生态环境支撑。</w:t>
      </w:r>
    </w:p>
    <w:p>
      <w:pPr>
        <w:pStyle w:val="3"/>
        <w:spacing w:line="590" w:lineRule="exact"/>
        <w:ind w:firstLine="643"/>
        <w:rPr>
          <w:rFonts w:eastAsia="楷体_GB2312"/>
        </w:rPr>
      </w:pPr>
      <w:bookmarkStart w:id="36" w:name="_Toc21613485"/>
      <w:r>
        <w:rPr>
          <w:rFonts w:eastAsia="楷体_GB2312"/>
        </w:rPr>
        <w:t>1.4</w:t>
      </w:r>
      <w:r>
        <w:rPr>
          <w:rFonts w:hint="eastAsia" w:eastAsia="楷体_GB2312"/>
        </w:rPr>
        <w:t>工作范围和时限</w:t>
      </w:r>
      <w:bookmarkEnd w:id="36"/>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本方案的工作范围：廊坊市安次区和广阳区内的龙河及环城水系（大皮营引渠、六干渠和八干渠）涉及的区域范围。</w:t>
      </w:r>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工作时限：</w:t>
      </w:r>
      <w:r>
        <w:rPr>
          <w:rFonts w:eastAsia="仿宋_GB2312" w:cs="Times New Roman"/>
          <w:sz w:val="32"/>
          <w:szCs w:val="32"/>
        </w:rPr>
        <w:t>2019</w:t>
      </w:r>
      <w:r>
        <w:rPr>
          <w:rFonts w:hint="eastAsia" w:eastAsia="仿宋_GB2312" w:cs="Times New Roman"/>
          <w:sz w:val="32"/>
          <w:szCs w:val="32"/>
        </w:rPr>
        <w:t>—</w:t>
      </w:r>
      <w:r>
        <w:rPr>
          <w:rFonts w:eastAsia="仿宋_GB2312" w:cs="Times New Roman"/>
          <w:sz w:val="32"/>
          <w:szCs w:val="32"/>
        </w:rPr>
        <w:t>2020</w:t>
      </w:r>
      <w:r>
        <w:rPr>
          <w:rFonts w:hint="eastAsia" w:eastAsia="仿宋_GB2312" w:cs="Times New Roman"/>
          <w:sz w:val="32"/>
          <w:szCs w:val="32"/>
        </w:rPr>
        <w:t>年。</w:t>
      </w:r>
    </w:p>
    <w:p>
      <w:pPr>
        <w:pStyle w:val="3"/>
        <w:spacing w:line="590" w:lineRule="exact"/>
        <w:ind w:firstLine="643"/>
        <w:rPr>
          <w:rFonts w:eastAsia="楷体_GB2312"/>
        </w:rPr>
      </w:pPr>
      <w:bookmarkStart w:id="37" w:name="_Toc21613486"/>
      <w:r>
        <w:rPr>
          <w:rFonts w:eastAsia="楷体_GB2312"/>
        </w:rPr>
        <w:t>1.5</w:t>
      </w:r>
      <w:r>
        <w:rPr>
          <w:rFonts w:hint="eastAsia" w:eastAsia="楷体_GB2312"/>
        </w:rPr>
        <w:t>治理目标</w:t>
      </w:r>
      <w:bookmarkEnd w:id="37"/>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本方案编制旨在全面提升研究区污水收集处理水平，严控污染物排放入河，解决环城水系黑臭问题，增加河道生态水量，全面改善龙河及环城水系水生态环境，水体蓝藻得到有效控制，逐步提升廊坊市主城区居民生活质量，提升城市品位。具体指标包括：</w:t>
      </w:r>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）到</w:t>
      </w:r>
      <w:r>
        <w:rPr>
          <w:rFonts w:eastAsia="仿宋_GB2312" w:cs="Times New Roman"/>
          <w:sz w:val="32"/>
          <w:szCs w:val="32"/>
        </w:rPr>
        <w:t>2019</w:t>
      </w:r>
      <w:r>
        <w:rPr>
          <w:rFonts w:hint="eastAsia" w:eastAsia="仿宋_GB2312" w:cs="Times New Roman"/>
          <w:sz w:val="32"/>
          <w:szCs w:val="32"/>
        </w:rPr>
        <w:t>年，龙河大王务断面稳定达到</w:t>
      </w:r>
      <w:r>
        <w:rPr>
          <w:rFonts w:eastAsia="仿宋_GB2312" w:cs="Times New Roman"/>
          <w:sz w:val="32"/>
          <w:szCs w:val="32"/>
        </w:rPr>
        <w:t>V</w:t>
      </w:r>
      <w:r>
        <w:rPr>
          <w:rFonts w:hint="eastAsia" w:eastAsia="仿宋_GB2312" w:cs="Times New Roman"/>
          <w:sz w:val="32"/>
          <w:szCs w:val="32"/>
        </w:rPr>
        <w:t>类，环城水系八干渠消除黑臭。</w:t>
      </w:r>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）到</w:t>
      </w:r>
      <w:r>
        <w:rPr>
          <w:rFonts w:eastAsia="仿宋_GB2312" w:cs="Times New Roman"/>
          <w:sz w:val="32"/>
          <w:szCs w:val="32"/>
        </w:rPr>
        <w:t>2020</w:t>
      </w:r>
      <w:r>
        <w:rPr>
          <w:rFonts w:hint="eastAsia" w:eastAsia="仿宋_GB2312" w:cs="Times New Roman"/>
          <w:sz w:val="32"/>
          <w:szCs w:val="32"/>
        </w:rPr>
        <w:t>年，龙河大王务断面保持或优于</w:t>
      </w:r>
      <w:r>
        <w:rPr>
          <w:rFonts w:eastAsia="仿宋_GB2312" w:cs="Times New Roman"/>
          <w:sz w:val="32"/>
          <w:szCs w:val="32"/>
        </w:rPr>
        <w:t>V</w:t>
      </w:r>
      <w:r>
        <w:rPr>
          <w:rFonts w:hint="eastAsia" w:eastAsia="仿宋_GB2312" w:cs="Times New Roman"/>
          <w:sz w:val="32"/>
          <w:szCs w:val="32"/>
        </w:rPr>
        <w:t>类，环城水系六干渠、大皮营引渠水质提升。</w:t>
      </w:r>
    </w:p>
    <w:p>
      <w:pPr>
        <w:pStyle w:val="3"/>
        <w:spacing w:line="590" w:lineRule="exact"/>
        <w:ind w:firstLine="643"/>
        <w:rPr>
          <w:rFonts w:eastAsia="楷体_GB2312"/>
        </w:rPr>
      </w:pPr>
      <w:bookmarkStart w:id="38" w:name="_Toc21613487"/>
      <w:r>
        <w:rPr>
          <w:rFonts w:eastAsia="楷体_GB2312"/>
        </w:rPr>
        <w:t>1.6</w:t>
      </w:r>
      <w:r>
        <w:rPr>
          <w:rFonts w:hint="eastAsia" w:eastAsia="楷体_GB2312"/>
        </w:rPr>
        <w:t>治理思路</w:t>
      </w:r>
      <w:bookmarkEnd w:id="38"/>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龙河水质总体受上游来水、支流汇水、污水处理厂尾水、沿岸农村生活污染排放以及少量的排污口溢流影响。龙河水质达标治理思路是以污染源综合整治为主，以生态补水为辅，配合人工湿地、河道清淤、沿河垃圾清运打捞等相关工程措施，实现龙河水质目标。其中污染源的综合整治主要包括优化城镇污水处理厂污水处理能力，完善截污管网和雨污分流管网改造，农村地区以污水分散治理、垃圾长效收集转运为主。</w:t>
      </w:r>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环城水系的水质主要受沿岸城镇及农村生活污水直排影响。环城水系的治理思路以污染削减为主，并对城区排污管道进行升级改造，辅以再生水回用，力争将城区水系改善以达到景观用水的要求，消除黑臭。</w:t>
      </w:r>
    </w:p>
    <w:p>
      <w:pPr>
        <w:pStyle w:val="2"/>
        <w:spacing w:line="590" w:lineRule="exact"/>
        <w:ind w:firstLine="640"/>
      </w:pPr>
      <w:bookmarkStart w:id="39" w:name="_Toc21613488"/>
      <w:r>
        <w:rPr>
          <w:rFonts w:hint="eastAsia"/>
        </w:rPr>
        <w:t>二、流域概况</w:t>
      </w:r>
      <w:bookmarkEnd w:id="39"/>
    </w:p>
    <w:p>
      <w:pPr>
        <w:pStyle w:val="3"/>
        <w:spacing w:line="590" w:lineRule="exact"/>
        <w:ind w:firstLine="643"/>
        <w:rPr>
          <w:rFonts w:eastAsia="楷体_GB2312"/>
        </w:rPr>
      </w:pPr>
      <w:bookmarkStart w:id="40" w:name="_Toc21613489"/>
      <w:r>
        <w:rPr>
          <w:rFonts w:eastAsia="楷体_GB2312"/>
        </w:rPr>
        <w:t>2.1</w:t>
      </w:r>
      <w:r>
        <w:rPr>
          <w:rFonts w:hint="eastAsia" w:eastAsia="楷体_GB2312"/>
        </w:rPr>
        <w:t>区位概况</w:t>
      </w:r>
      <w:bookmarkEnd w:id="40"/>
    </w:p>
    <w:p>
      <w:pPr>
        <w:pStyle w:val="4"/>
        <w:spacing w:line="590" w:lineRule="exact"/>
        <w:ind w:firstLine="643"/>
      </w:pPr>
      <w:bookmarkStart w:id="41" w:name="_Toc21613490"/>
      <w:r>
        <w:t>2.1.1</w:t>
      </w:r>
      <w:r>
        <w:rPr>
          <w:rFonts w:hint="eastAsia"/>
        </w:rPr>
        <w:t>地理位置</w:t>
      </w:r>
      <w:bookmarkEnd w:id="41"/>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廊坊市位于河北省中部偏东，北临京都，东与津门交界，南接沧州，西和古城保定毗连，地处京津两大城市之间，环渤海腹地，享有</w:t>
      </w:r>
      <w:r>
        <w:rPr>
          <w:rFonts w:eastAsia="仿宋_GB2312" w:cs="Times New Roman"/>
          <w:sz w:val="32"/>
          <w:szCs w:val="32"/>
        </w:rPr>
        <w:t>“</w:t>
      </w:r>
      <w:r>
        <w:rPr>
          <w:rFonts w:hint="eastAsia" w:eastAsia="仿宋_GB2312" w:cs="Times New Roman"/>
          <w:sz w:val="32"/>
          <w:szCs w:val="32"/>
        </w:rPr>
        <w:t>京津走廊明珠</w:t>
      </w:r>
      <w:r>
        <w:rPr>
          <w:rFonts w:eastAsia="仿宋_GB2312" w:cs="Times New Roman"/>
          <w:sz w:val="32"/>
          <w:szCs w:val="32"/>
        </w:rPr>
        <w:t>”</w:t>
      </w:r>
      <w:r>
        <w:rPr>
          <w:rFonts w:hint="eastAsia" w:eastAsia="仿宋_GB2312" w:cs="Times New Roman"/>
          <w:sz w:val="32"/>
          <w:szCs w:val="32"/>
        </w:rPr>
        <w:t>和</w:t>
      </w:r>
      <w:r>
        <w:rPr>
          <w:rFonts w:eastAsia="仿宋_GB2312" w:cs="Times New Roman"/>
          <w:sz w:val="32"/>
          <w:szCs w:val="32"/>
        </w:rPr>
        <w:t>“</w:t>
      </w:r>
      <w:r>
        <w:rPr>
          <w:rFonts w:hint="eastAsia" w:eastAsia="仿宋_GB2312" w:cs="Times New Roman"/>
          <w:sz w:val="32"/>
          <w:szCs w:val="32"/>
        </w:rPr>
        <w:t>连京津之廊、环渤海之坊</w:t>
      </w:r>
      <w:r>
        <w:rPr>
          <w:rFonts w:eastAsia="仿宋_GB2312" w:cs="Times New Roman"/>
          <w:sz w:val="32"/>
          <w:szCs w:val="32"/>
        </w:rPr>
        <w:t>”</w:t>
      </w:r>
      <w:r>
        <w:rPr>
          <w:rFonts w:hint="eastAsia" w:eastAsia="仿宋_GB2312" w:cs="Times New Roman"/>
          <w:sz w:val="32"/>
          <w:szCs w:val="32"/>
        </w:rPr>
        <w:t>等美誉。廊坊市幅员面积</w:t>
      </w:r>
      <w:r>
        <w:rPr>
          <w:rFonts w:eastAsia="仿宋_GB2312" w:cs="Times New Roman"/>
          <w:sz w:val="32"/>
          <w:szCs w:val="32"/>
        </w:rPr>
        <w:t>6429</w:t>
      </w:r>
      <w:r>
        <w:rPr>
          <w:rFonts w:hint="eastAsia" w:eastAsia="仿宋_GB2312" w:cs="Times New Roman"/>
          <w:sz w:val="32"/>
          <w:szCs w:val="32"/>
        </w:rPr>
        <w:t>平方公里，主城区面积</w:t>
      </w:r>
      <w:r>
        <w:rPr>
          <w:rFonts w:eastAsia="仿宋_GB2312" w:cs="Times New Roman"/>
          <w:sz w:val="32"/>
          <w:szCs w:val="32"/>
        </w:rPr>
        <w:t>54</w:t>
      </w:r>
      <w:r>
        <w:rPr>
          <w:rFonts w:hint="eastAsia" w:eastAsia="仿宋_GB2312" w:cs="Times New Roman"/>
          <w:sz w:val="32"/>
          <w:szCs w:val="32"/>
        </w:rPr>
        <w:t>平方公里。其中，龙河及环城水系主要涉及广阳区和安次区两区，研究区的地理位置如图</w:t>
      </w:r>
      <w:r>
        <w:rPr>
          <w:rFonts w:eastAsia="仿宋_GB2312" w:cs="Times New Roman"/>
          <w:sz w:val="32"/>
          <w:szCs w:val="32"/>
        </w:rPr>
        <w:t>2</w:t>
      </w:r>
      <w:r>
        <w:rPr>
          <w:rFonts w:hint="eastAsia" w:ascii="黑体" w:hAnsi="黑体" w:eastAsia="黑体" w:cs="Times New Roman"/>
          <w:bCs/>
          <w:sz w:val="32"/>
          <w:szCs w:val="32"/>
        </w:rPr>
        <w:t>-</w:t>
      </w:r>
      <w:r>
        <w:rPr>
          <w:rFonts w:eastAsia="仿宋_GB2312" w:cs="Times New Roman"/>
          <w:sz w:val="32"/>
          <w:szCs w:val="32"/>
        </w:rPr>
        <w:t>1</w:t>
      </w:r>
      <w:r>
        <w:rPr>
          <w:rFonts w:hint="eastAsia" w:eastAsia="仿宋_GB2312" w:cs="Times New Roman"/>
          <w:sz w:val="32"/>
          <w:szCs w:val="32"/>
        </w:rPr>
        <w:t>所示。</w:t>
      </w:r>
    </w:p>
    <w:p>
      <w:pPr>
        <w:autoSpaceDN w:val="0"/>
        <w:snapToGrid w:val="0"/>
        <w:spacing w:line="590" w:lineRule="exact"/>
        <w:ind w:firstLine="640"/>
        <w:rPr>
          <w:rFonts w:eastAsia="仿宋_GB2312" w:cs="Times New Roman"/>
          <w:sz w:val="32"/>
          <w:szCs w:val="32"/>
        </w:rPr>
      </w:pPr>
      <w:r>
        <w:rPr>
          <w:rFonts w:hint="eastAsia" w:eastAsia="仿宋_GB2312" w:cs="Times New Roman"/>
          <w:sz w:val="32"/>
          <w:szCs w:val="32"/>
        </w:rPr>
        <w:t>广阳区位于东经</w:t>
      </w:r>
      <w:r>
        <w:rPr>
          <w:rFonts w:eastAsia="仿宋_GB2312" w:cs="Times New Roman"/>
          <w:sz w:val="32"/>
          <w:szCs w:val="32"/>
        </w:rPr>
        <w:t>116°23′52″</w:t>
      </w:r>
      <w:r>
        <w:rPr>
          <w:rFonts w:hint="eastAsia" w:eastAsia="仿宋_GB2312" w:cs="Times New Roman"/>
          <w:sz w:val="32"/>
          <w:szCs w:val="32"/>
        </w:rPr>
        <w:t>—</w:t>
      </w:r>
      <w:r>
        <w:rPr>
          <w:rFonts w:eastAsia="仿宋_GB2312" w:cs="Times New Roman"/>
          <w:sz w:val="32"/>
          <w:szCs w:val="32"/>
        </w:rPr>
        <w:t>116°48′18″</w:t>
      </w:r>
      <w:r>
        <w:rPr>
          <w:rFonts w:hint="eastAsia" w:eastAsia="仿宋_GB2312" w:cs="Times New Roman"/>
          <w:sz w:val="32"/>
          <w:szCs w:val="32"/>
        </w:rPr>
        <w:t>，北纬</w:t>
      </w:r>
      <w:r>
        <w:rPr>
          <w:rFonts w:eastAsia="仿宋_GB2312" w:cs="Times New Roman"/>
          <w:sz w:val="32"/>
          <w:szCs w:val="32"/>
        </w:rPr>
        <w:t>39°27′15″</w:t>
      </w:r>
      <w:r>
        <w:rPr>
          <w:rFonts w:hint="eastAsia" w:eastAsia="仿宋_GB2312" w:cs="Times New Roman"/>
          <w:sz w:val="32"/>
          <w:szCs w:val="32"/>
        </w:rPr>
        <w:t>—</w:t>
      </w:r>
      <w:r>
        <w:rPr>
          <w:rFonts w:eastAsia="仿宋_GB2312" w:cs="Times New Roman"/>
          <w:sz w:val="32"/>
          <w:szCs w:val="32"/>
        </w:rPr>
        <w:t>39°37′30″</w:t>
      </w:r>
      <w:r>
        <w:rPr>
          <w:rFonts w:hint="eastAsia" w:eastAsia="仿宋_GB2312" w:cs="Times New Roman"/>
          <w:sz w:val="32"/>
          <w:szCs w:val="32"/>
        </w:rPr>
        <w:t>。东与天津市武清区接壤，南与安次区、永清县相连，西、北与北京市大兴区搭界。辖域东西最大距离</w:t>
      </w:r>
      <w:r>
        <w:rPr>
          <w:rFonts w:eastAsia="仿宋_GB2312" w:cs="Times New Roman"/>
          <w:sz w:val="32"/>
          <w:szCs w:val="32"/>
        </w:rPr>
        <w:t>34.66</w:t>
      </w:r>
      <w:r>
        <w:rPr>
          <w:rFonts w:hint="eastAsia" w:eastAsia="仿宋_GB2312" w:cs="Times New Roman"/>
          <w:sz w:val="32"/>
          <w:szCs w:val="32"/>
        </w:rPr>
        <w:t>公里，南北最大距离</w:t>
      </w:r>
      <w:r>
        <w:rPr>
          <w:rFonts w:eastAsia="仿宋_GB2312" w:cs="Times New Roman"/>
          <w:sz w:val="32"/>
          <w:szCs w:val="32"/>
        </w:rPr>
        <w:t>16</w:t>
      </w:r>
      <w:r>
        <w:rPr>
          <w:rFonts w:hint="eastAsia" w:eastAsia="仿宋_GB2312" w:cs="Times New Roman"/>
          <w:sz w:val="32"/>
          <w:szCs w:val="32"/>
        </w:rPr>
        <w:t>公里，总面积</w:t>
      </w:r>
      <w:r>
        <w:rPr>
          <w:rFonts w:eastAsia="仿宋_GB2312" w:cs="Times New Roman"/>
          <w:sz w:val="32"/>
          <w:szCs w:val="32"/>
        </w:rPr>
        <w:t>331</w:t>
      </w:r>
      <w:r>
        <w:rPr>
          <w:rFonts w:hint="eastAsia" w:eastAsia="仿宋_GB2312" w:cs="Times New Roman"/>
          <w:sz w:val="32"/>
          <w:szCs w:val="32"/>
        </w:rPr>
        <w:t>平方公里。城区位于京津走廊中点，距北京市、天津市各</w:t>
      </w:r>
      <w:r>
        <w:rPr>
          <w:rFonts w:eastAsia="仿宋_GB2312" w:cs="Times New Roman"/>
          <w:sz w:val="32"/>
          <w:szCs w:val="32"/>
        </w:rPr>
        <w:t>60</w:t>
      </w:r>
      <w:r>
        <w:rPr>
          <w:rFonts w:hint="eastAsia" w:eastAsia="仿宋_GB2312" w:cs="Times New Roman"/>
          <w:sz w:val="32"/>
          <w:szCs w:val="32"/>
        </w:rPr>
        <w:t>公里。</w:t>
      </w:r>
    </w:p>
    <w:p>
      <w:pPr>
        <w:autoSpaceDN w:val="0"/>
        <w:snapToGrid w:val="0"/>
        <w:spacing w:after="222" w:afterLines="50" w:line="590" w:lineRule="exact"/>
        <w:ind w:firstLine="640"/>
        <w:rPr>
          <w:rFonts w:eastAsia="仿宋_GB2312" w:cs="Times New Roman"/>
          <w:sz w:val="32"/>
          <w:szCs w:val="32"/>
        </w:rPr>
      </w:pPr>
      <w:r>
        <w:rPr>
          <w:rFonts w:hint="eastAsia" w:eastAsia="仿宋_GB2312" w:cs="Times New Roman"/>
          <w:sz w:val="32"/>
          <w:szCs w:val="32"/>
        </w:rPr>
        <w:t>安次区位于河北省中北部，地处东经</w:t>
      </w:r>
      <w:r>
        <w:rPr>
          <w:rFonts w:eastAsia="仿宋_GB2312" w:cs="Times New Roman"/>
          <w:sz w:val="32"/>
          <w:szCs w:val="32"/>
        </w:rPr>
        <w:t>116°35′25″</w:t>
      </w:r>
      <w:r>
        <w:rPr>
          <w:rFonts w:hint="eastAsia" w:eastAsia="仿宋_GB2312" w:cs="Times New Roman"/>
          <w:sz w:val="32"/>
          <w:szCs w:val="32"/>
        </w:rPr>
        <w:t>—</w:t>
      </w:r>
      <w:r>
        <w:rPr>
          <w:rFonts w:eastAsia="仿宋_GB2312" w:cs="Times New Roman"/>
          <w:sz w:val="32"/>
          <w:szCs w:val="32"/>
        </w:rPr>
        <w:t>116°53′08″</w:t>
      </w:r>
      <w:r>
        <w:rPr>
          <w:rFonts w:hint="eastAsia" w:eastAsia="仿宋_GB2312" w:cs="Times New Roman"/>
          <w:sz w:val="32"/>
          <w:szCs w:val="32"/>
        </w:rPr>
        <w:t>，北纬</w:t>
      </w:r>
      <w:r>
        <w:rPr>
          <w:rFonts w:eastAsia="仿宋_GB2312" w:cs="Times New Roman"/>
          <w:sz w:val="32"/>
          <w:szCs w:val="32"/>
        </w:rPr>
        <w:t>39°32′52″</w:t>
      </w:r>
      <w:r>
        <w:rPr>
          <w:rFonts w:hint="eastAsia" w:eastAsia="仿宋_GB2312" w:cs="Times New Roman"/>
          <w:sz w:val="32"/>
          <w:szCs w:val="32"/>
        </w:rPr>
        <w:t>—</w:t>
      </w:r>
      <w:r>
        <w:rPr>
          <w:rFonts w:eastAsia="仿宋_GB2312" w:cs="Times New Roman"/>
          <w:sz w:val="32"/>
          <w:szCs w:val="32"/>
        </w:rPr>
        <w:t>39°08′31″</w:t>
      </w:r>
      <w:r>
        <w:rPr>
          <w:rFonts w:hint="eastAsia" w:eastAsia="仿宋_GB2312" w:cs="Times New Roman"/>
          <w:sz w:val="32"/>
          <w:szCs w:val="32"/>
        </w:rPr>
        <w:t>，总面积</w:t>
      </w:r>
      <w:r>
        <w:rPr>
          <w:rFonts w:eastAsia="仿宋_GB2312" w:cs="Times New Roman"/>
          <w:sz w:val="32"/>
          <w:szCs w:val="32"/>
        </w:rPr>
        <w:t>578.4</w:t>
      </w:r>
      <w:r>
        <w:rPr>
          <w:rFonts w:hint="eastAsia" w:eastAsia="仿宋_GB2312" w:cs="Times New Roman"/>
          <w:sz w:val="32"/>
          <w:szCs w:val="32"/>
        </w:rPr>
        <w:t>平方公里。安次区东与天津市武清区连接，南与霸州市为邻，西与永清县交界，北部紧邻广阳区，距省会石家庄</w:t>
      </w:r>
      <w:r>
        <w:rPr>
          <w:rFonts w:eastAsia="仿宋_GB2312" w:cs="Times New Roman"/>
          <w:sz w:val="32"/>
          <w:szCs w:val="32"/>
        </w:rPr>
        <w:t>280</w:t>
      </w:r>
      <w:r>
        <w:rPr>
          <w:rFonts w:hint="eastAsia" w:eastAsia="仿宋_GB2312" w:cs="Times New Roman"/>
          <w:sz w:val="32"/>
          <w:szCs w:val="32"/>
        </w:rPr>
        <w:t>公里，距北京、天津各</w:t>
      </w:r>
      <w:r>
        <w:rPr>
          <w:rFonts w:eastAsia="仿宋_GB2312" w:cs="Times New Roman"/>
          <w:sz w:val="32"/>
          <w:szCs w:val="32"/>
        </w:rPr>
        <w:t>60</w:t>
      </w:r>
      <w:r>
        <w:rPr>
          <w:rFonts w:hint="eastAsia" w:eastAsia="仿宋_GB2312" w:cs="Times New Roman"/>
          <w:sz w:val="32"/>
          <w:szCs w:val="32"/>
        </w:rPr>
        <w:t>公里。</w:t>
      </w:r>
    </w:p>
    <w:p>
      <w:pPr>
        <w:pStyle w:val="8"/>
        <w:rPr>
          <w:rFonts w:ascii="Times New Roman" w:hAnsi="Times New Roman"/>
        </w:rPr>
      </w:pPr>
      <w:r>
        <w:rPr>
          <w:rFonts w:ascii="Times New Roman" w:hAnsi="Times New Roman"/>
        </w:rPr>
        <w:drawing>
          <wp:inline distT="0" distB="0" distL="114300" distR="114300">
            <wp:extent cx="4140200" cy="4630420"/>
            <wp:effectExtent l="0" t="0" r="12700" b="17780"/>
            <wp:docPr id="7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9"/>
                    <pic:cNvPicPr>
                      <a:picLocks noChangeAspect="1"/>
                    </pic:cNvPicPr>
                  </pic:nvPicPr>
                  <pic:blipFill>
                    <a:blip r:embed="rId32"/>
                    <a:stretch>
                      <a:fillRect/>
                    </a:stretch>
                  </pic:blipFill>
                  <pic:spPr>
                    <a:xfrm>
                      <a:off x="0" y="0"/>
                      <a:ext cx="4140200" cy="4630420"/>
                    </a:xfrm>
                    <a:prstGeom prst="rect">
                      <a:avLst/>
                    </a:prstGeom>
                    <a:noFill/>
                    <a:ln w="9525">
                      <a:noFill/>
                    </a:ln>
                  </pic:spPr>
                </pic:pic>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 xml:space="preserve">1 </w:t>
      </w:r>
      <w:r>
        <w:rPr>
          <w:rFonts w:hint="eastAsia" w:ascii="Times New Roman" w:hAnsi="Times New Roman"/>
          <w:b/>
        </w:rPr>
        <w:t>研究区域位置示意图</w:t>
      </w:r>
    </w:p>
    <w:p>
      <w:pPr>
        <w:pStyle w:val="4"/>
        <w:spacing w:line="590" w:lineRule="exact"/>
        <w:ind w:firstLine="643"/>
      </w:pPr>
      <w:bookmarkStart w:id="42" w:name="_Toc21613491"/>
      <w:r>
        <w:t>2.1.2</w:t>
      </w:r>
      <w:r>
        <w:rPr>
          <w:rFonts w:hint="eastAsia"/>
        </w:rPr>
        <w:t>行政区划</w:t>
      </w:r>
      <w:bookmarkEnd w:id="42"/>
    </w:p>
    <w:p>
      <w:pPr>
        <w:spacing w:line="590" w:lineRule="exact"/>
        <w:ind w:firstLine="640"/>
        <w:rPr>
          <w:rFonts w:eastAsia="仿宋_GB2312" w:cs="Times New Roman"/>
          <w:sz w:val="32"/>
          <w:szCs w:val="32"/>
        </w:rPr>
      </w:pPr>
      <w:r>
        <w:rPr>
          <w:rFonts w:eastAsia="仿宋_GB2312" w:cs="Times New Roman"/>
          <w:sz w:val="32"/>
          <w:szCs w:val="32"/>
        </w:rPr>
        <w:t>1989年4月，廊坊经国务院批准为省辖地级市，现辖广阳、安次两个区，三河、霸州两个县级市，大厂、香河、永清、固安、文安、大城六个县。龙河及环城水系涉及的广阳区和安次区两区的基本情况及区域位置如表2</w:t>
      </w:r>
      <w:r>
        <w:rPr>
          <w:rFonts w:eastAsia="黑体" w:cs="Times New Roman"/>
          <w:bCs/>
          <w:sz w:val="32"/>
          <w:szCs w:val="32"/>
        </w:rPr>
        <w:t>-</w:t>
      </w:r>
      <w:r>
        <w:rPr>
          <w:rFonts w:eastAsia="仿宋_GB2312" w:cs="Times New Roman"/>
          <w:sz w:val="32"/>
          <w:szCs w:val="32"/>
        </w:rPr>
        <w:t>1所示。</w:t>
      </w:r>
    </w:p>
    <w:p>
      <w:pPr>
        <w:pStyle w:val="8"/>
        <w:spacing w:before="222" w:beforeLines="50" w:after="222" w:afterLines="50"/>
        <w:rPr>
          <w:rFonts w:ascii="Times New Roman" w:hAnsi="Times New Roman" w:eastAsia="黑体"/>
          <w:bCs/>
          <w:sz w:val="32"/>
          <w:szCs w:val="32"/>
        </w:rPr>
      </w:pPr>
      <w:r>
        <w:rPr>
          <w:rFonts w:hint="eastAsia" w:ascii="Times New Roman" w:hAnsi="Times New Roman" w:eastAsia="黑体"/>
          <w:bCs/>
          <w:sz w:val="32"/>
          <w:szCs w:val="32"/>
        </w:rPr>
        <w:t>表</w:t>
      </w:r>
      <w:r>
        <w:rPr>
          <w:rFonts w:ascii="Times New Roman" w:hAnsi="Times New Roman" w:eastAsia="黑体"/>
          <w:bCs/>
          <w:sz w:val="32"/>
          <w:szCs w:val="32"/>
        </w:rPr>
        <w:t>2-1</w:t>
      </w:r>
      <w:r>
        <w:rPr>
          <w:rFonts w:hint="eastAsia" w:ascii="Times New Roman" w:hAnsi="Times New Roman" w:eastAsia="黑体"/>
          <w:bCs/>
          <w:sz w:val="32"/>
          <w:szCs w:val="32"/>
        </w:rPr>
        <w:t>　安次区与广阳区基本情况信息</w:t>
      </w:r>
    </w:p>
    <w:tbl>
      <w:tblPr>
        <w:tblStyle w:val="11"/>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760"/>
        <w:gridCol w:w="768"/>
        <w:gridCol w:w="1456"/>
        <w:gridCol w:w="4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4" w:hRule="atLeast"/>
          <w:jc w:val="center"/>
        </w:trPr>
        <w:tc>
          <w:tcPr>
            <w:tcW w:w="860" w:type="dxa"/>
            <w:vAlign w:val="center"/>
          </w:tcPr>
          <w:p>
            <w:pPr>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名称</w:t>
            </w:r>
          </w:p>
        </w:tc>
        <w:tc>
          <w:tcPr>
            <w:tcW w:w="760" w:type="dxa"/>
            <w:vAlign w:val="center"/>
          </w:tcPr>
          <w:p>
            <w:pPr>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面积/平方公里</w:t>
            </w:r>
          </w:p>
        </w:tc>
        <w:tc>
          <w:tcPr>
            <w:tcW w:w="768" w:type="dxa"/>
            <w:vAlign w:val="center"/>
          </w:tcPr>
          <w:p>
            <w:pPr>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人口/万人</w:t>
            </w:r>
          </w:p>
        </w:tc>
        <w:tc>
          <w:tcPr>
            <w:tcW w:w="1456" w:type="dxa"/>
            <w:vAlign w:val="center"/>
          </w:tcPr>
          <w:p>
            <w:pPr>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政府驻地</w:t>
            </w:r>
          </w:p>
        </w:tc>
        <w:tc>
          <w:tcPr>
            <w:tcW w:w="4876" w:type="dxa"/>
            <w:vAlign w:val="center"/>
          </w:tcPr>
          <w:p>
            <w:pPr>
              <w:snapToGrid w:val="0"/>
              <w:spacing w:line="240" w:lineRule="auto"/>
              <w:ind w:firstLine="0" w:firstLineChars="0"/>
              <w:jc w:val="center"/>
              <w:rPr>
                <w:rFonts w:eastAsia="仿宋_GB2312" w:cs="Times New Roman"/>
                <w:b/>
                <w:sz w:val="21"/>
                <w:szCs w:val="21"/>
              </w:rPr>
            </w:pPr>
            <w:r>
              <w:rPr>
                <w:rFonts w:eastAsia="仿宋_GB2312" w:cs="Times New Roman"/>
                <w:b/>
                <w:sz w:val="21"/>
                <w:szCs w:val="21"/>
              </w:rPr>
              <w:t>管辖区域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07" w:hRule="atLeast"/>
          <w:jc w:val="center"/>
        </w:trPr>
        <w:tc>
          <w:tcPr>
            <w:tcW w:w="860"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安次区</w:t>
            </w:r>
          </w:p>
        </w:tc>
        <w:tc>
          <w:tcPr>
            <w:tcW w:w="760"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578.4</w:t>
            </w:r>
          </w:p>
        </w:tc>
        <w:tc>
          <w:tcPr>
            <w:tcW w:w="768"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w:t>
            </w:r>
          </w:p>
        </w:tc>
        <w:tc>
          <w:tcPr>
            <w:tcW w:w="1456"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金光道14号</w:t>
            </w:r>
          </w:p>
        </w:tc>
        <w:tc>
          <w:tcPr>
            <w:tcW w:w="4876" w:type="dxa"/>
            <w:vAlign w:val="center"/>
          </w:tcPr>
          <w:p>
            <w:pPr>
              <w:snapToGrid w:val="0"/>
              <w:spacing w:line="240" w:lineRule="auto"/>
              <w:ind w:firstLine="0" w:firstLineChars="0"/>
              <w:rPr>
                <w:rFonts w:eastAsia="仿宋_GB2312" w:cs="Times New Roman"/>
                <w:sz w:val="21"/>
                <w:szCs w:val="21"/>
              </w:rPr>
            </w:pPr>
            <w:r>
              <w:rPr>
                <w:rFonts w:eastAsia="仿宋_GB2312" w:cs="Times New Roman"/>
                <w:sz w:val="21"/>
                <w:szCs w:val="21"/>
              </w:rPr>
              <w:t>区辖3个街道、4个镇、4个乡：银河南路街道、光明西道街道、永华道、落垡镇、码头镇、葛渔城镇、东沽港镇、杨税务乡、仇庄乡、调河头乡、北史家务乡。共有27个居委会、284个行政村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76" w:hRule="atLeast"/>
          <w:jc w:val="center"/>
        </w:trPr>
        <w:tc>
          <w:tcPr>
            <w:tcW w:w="860"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广阳区</w:t>
            </w:r>
          </w:p>
        </w:tc>
        <w:tc>
          <w:tcPr>
            <w:tcW w:w="760"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331</w:t>
            </w:r>
          </w:p>
        </w:tc>
        <w:tc>
          <w:tcPr>
            <w:tcW w:w="768"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42</w:t>
            </w:r>
          </w:p>
        </w:tc>
        <w:tc>
          <w:tcPr>
            <w:tcW w:w="1456" w:type="dxa"/>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康宁街2号</w:t>
            </w:r>
          </w:p>
        </w:tc>
        <w:tc>
          <w:tcPr>
            <w:tcW w:w="4876" w:type="dxa"/>
            <w:vAlign w:val="center"/>
          </w:tcPr>
          <w:p>
            <w:pPr>
              <w:snapToGrid w:val="0"/>
              <w:spacing w:line="240" w:lineRule="auto"/>
              <w:ind w:firstLine="0" w:firstLineChars="0"/>
              <w:rPr>
                <w:rFonts w:eastAsia="仿宋_GB2312" w:cs="Times New Roman"/>
                <w:sz w:val="21"/>
                <w:szCs w:val="21"/>
              </w:rPr>
            </w:pPr>
            <w:r>
              <w:rPr>
                <w:rFonts w:eastAsia="仿宋_GB2312" w:cs="Times New Roman"/>
                <w:sz w:val="21"/>
                <w:szCs w:val="21"/>
              </w:rPr>
              <w:t>区辖5个街道、3个镇、1个乡：银河北路街道、爱民东道街道、解放道街道、新开路街道、新源道街道、南尖塔镇、万庄镇（涵盖华北油田部分单位及矿区）、九州镇、北旺乡</w:t>
            </w:r>
          </w:p>
        </w:tc>
      </w:tr>
    </w:tbl>
    <w:p>
      <w:pPr>
        <w:pStyle w:val="3"/>
        <w:spacing w:line="590" w:lineRule="exact"/>
        <w:ind w:firstLine="643"/>
        <w:rPr>
          <w:rFonts w:eastAsia="楷体_GB2312"/>
        </w:rPr>
      </w:pPr>
      <w:bookmarkStart w:id="43" w:name="_Toc21613492"/>
      <w:r>
        <w:rPr>
          <w:rFonts w:eastAsia="楷体_GB2312"/>
        </w:rPr>
        <w:t>2.2</w:t>
      </w:r>
      <w:r>
        <w:rPr>
          <w:rFonts w:hint="eastAsia" w:eastAsia="楷体_GB2312"/>
        </w:rPr>
        <w:t>自然概况</w:t>
      </w:r>
      <w:bookmarkEnd w:id="43"/>
    </w:p>
    <w:p>
      <w:pPr>
        <w:pStyle w:val="4"/>
        <w:spacing w:line="590" w:lineRule="exact"/>
        <w:ind w:firstLine="643"/>
      </w:pPr>
      <w:bookmarkStart w:id="44" w:name="_Toc21613493"/>
      <w:bookmarkStart w:id="45" w:name="_Toc459303070"/>
      <w:r>
        <w:t>2.2.1</w:t>
      </w:r>
      <w:r>
        <w:rPr>
          <w:rFonts w:hint="eastAsia"/>
        </w:rPr>
        <w:t>地形地貌</w:t>
      </w:r>
      <w:bookmarkEnd w:id="44"/>
      <w:bookmarkEnd w:id="45"/>
    </w:p>
    <w:p>
      <w:pPr>
        <w:spacing w:line="590" w:lineRule="exact"/>
        <w:ind w:firstLine="640"/>
        <w:rPr>
          <w:rFonts w:eastAsia="仿宋_GB2312" w:cs="Times New Roman"/>
          <w:sz w:val="32"/>
          <w:szCs w:val="32"/>
        </w:rPr>
      </w:pPr>
      <w:r>
        <w:rPr>
          <w:rFonts w:eastAsia="仿宋_GB2312" w:cs="Times New Roman"/>
          <w:sz w:val="32"/>
          <w:szCs w:val="32"/>
        </w:rPr>
        <w:t>廊坊市大部处于凹陷地区，随着地壳下沉，地面逐渐被第四纪沉积物填平，致使新生界地层沉降厚度较大，全市地貌比较平缓单调，以平原为主，一般高程在2.5</w:t>
      </w:r>
      <w:r>
        <w:rPr>
          <w:rFonts w:hint="eastAsia" w:eastAsia="仿宋_GB2312" w:cs="Times New Roman"/>
          <w:sz w:val="32"/>
          <w:szCs w:val="32"/>
        </w:rPr>
        <w:t>~</w:t>
      </w:r>
      <w:r>
        <w:rPr>
          <w:rFonts w:eastAsia="仿宋_GB2312" w:cs="Times New Roman"/>
          <w:sz w:val="32"/>
          <w:szCs w:val="32"/>
        </w:rPr>
        <w:t>30米之间，平均海拔13米左右。由于洪积、冲积作用和河流多次决口改道淤积，沉积物交错分布，加上风力及人为活动的影响，境内缓岗、洼地、沙丘、小型冲积堆等遍布，全市地貌呈现大小不平状态。</w:t>
      </w:r>
    </w:p>
    <w:p>
      <w:pPr>
        <w:spacing w:line="590" w:lineRule="exact"/>
        <w:ind w:firstLine="640"/>
        <w:rPr>
          <w:rFonts w:eastAsia="仿宋_GB2312" w:cs="Times New Roman"/>
          <w:sz w:val="32"/>
          <w:szCs w:val="32"/>
        </w:rPr>
      </w:pPr>
      <w:r>
        <w:rPr>
          <w:rFonts w:eastAsia="仿宋_GB2312" w:cs="Times New Roman"/>
          <w:sz w:val="32"/>
          <w:szCs w:val="32"/>
        </w:rPr>
        <w:t>广阳区地处永定河冲积平原，以平原和洼地为主，自西北向东南倾斜，海拔10</w:t>
      </w:r>
      <w:r>
        <w:rPr>
          <w:rFonts w:hint="eastAsia" w:eastAsia="仿宋_GB2312" w:cs="Times New Roman"/>
          <w:sz w:val="32"/>
          <w:szCs w:val="32"/>
        </w:rPr>
        <w:t>~</w:t>
      </w:r>
      <w:r>
        <w:rPr>
          <w:rFonts w:eastAsia="仿宋_GB2312" w:cs="Times New Roman"/>
          <w:sz w:val="32"/>
          <w:szCs w:val="32"/>
        </w:rPr>
        <w:t>13.80米，相对高差3.80米，地势平缓。主要地貌类型包括准缓岗、小二坡地、小低平地、小浅平地以及河漫滩等，局部地区有沙丘残留。</w:t>
      </w:r>
    </w:p>
    <w:p>
      <w:pPr>
        <w:spacing w:line="590" w:lineRule="exact"/>
        <w:ind w:firstLine="640"/>
        <w:rPr>
          <w:rFonts w:eastAsia="仿宋_GB2312" w:cs="Times New Roman"/>
          <w:sz w:val="32"/>
          <w:szCs w:val="32"/>
        </w:rPr>
      </w:pPr>
      <w:r>
        <w:rPr>
          <w:rFonts w:eastAsia="仿宋_GB2312" w:cs="Times New Roman"/>
          <w:sz w:val="32"/>
          <w:szCs w:val="32"/>
        </w:rPr>
        <w:t>安次区属于河北平原中的低平原部分，南、北、中都有永定河故道遗迹，决口处较多，属于典型的冲积平原地段。全区的地形变化复杂，地面大小不平。总地势为西北高、东南低。海拔从26.6米（大沽水准点）缓降至4.4米。安次区地表系永定河冲积物堆积而成，主要地貌类型为其冲积形成的缓岗、坡地、洼地，小地貌类型包括缓岗、小坡地、小低平地、小浅平洼地，以及河流沙滩等局部沙丘残留。</w:t>
      </w:r>
    </w:p>
    <w:p>
      <w:pPr>
        <w:pStyle w:val="4"/>
        <w:spacing w:line="590" w:lineRule="exact"/>
        <w:ind w:firstLine="643"/>
      </w:pPr>
      <w:bookmarkStart w:id="46" w:name="_Toc21613494"/>
      <w:bookmarkStart w:id="47" w:name="_Toc459303071"/>
      <w:r>
        <w:t>2.2.2</w:t>
      </w:r>
      <w:r>
        <w:rPr>
          <w:rFonts w:hint="eastAsia"/>
        </w:rPr>
        <w:t>气象气候</w:t>
      </w:r>
      <w:bookmarkEnd w:id="46"/>
      <w:bookmarkEnd w:id="47"/>
    </w:p>
    <w:p>
      <w:pPr>
        <w:spacing w:line="590" w:lineRule="exact"/>
        <w:ind w:firstLine="640"/>
        <w:rPr>
          <w:rFonts w:eastAsia="仿宋_GB2312" w:cs="Times New Roman"/>
          <w:sz w:val="32"/>
          <w:szCs w:val="32"/>
        </w:rPr>
      </w:pPr>
      <w:r>
        <w:rPr>
          <w:rFonts w:eastAsia="仿宋_GB2312" w:cs="Times New Roman"/>
          <w:sz w:val="32"/>
          <w:szCs w:val="32"/>
        </w:rPr>
        <w:t>廊坊市地处中纬度地带，属暖温带大陆性季风气候，四季分明。夏季炎热多雨，冬季寒冷干燥，春季干旱多风沙，秋季秋高气爽，冷热适宜。光热资源充足，雨热同季，气象灾害较多，主要包括干热风、雷雨冰雹大风、连阴雨、寒潮等。</w:t>
      </w:r>
    </w:p>
    <w:p>
      <w:pPr>
        <w:spacing w:line="590" w:lineRule="exact"/>
        <w:ind w:firstLine="640"/>
        <w:rPr>
          <w:rFonts w:eastAsia="仿宋_GB2312" w:cs="Times New Roman"/>
          <w:sz w:val="32"/>
          <w:szCs w:val="32"/>
        </w:rPr>
      </w:pPr>
      <w:r>
        <w:rPr>
          <w:rFonts w:eastAsia="仿宋_GB2312" w:cs="Times New Roman"/>
          <w:sz w:val="32"/>
          <w:szCs w:val="32"/>
        </w:rPr>
        <w:t>广阳区地处中纬度，属欧亚大陆东带、华北平原北部的暖温带半干旱季风气候类型，四季分明、寒暑交错、干湿界限明显。年平均气温11.9℃，7月平均气温最高，为26.1℃，极端最高气温40.3℃；1月平均气温最低，为</w:t>
      </w:r>
      <w:r>
        <w:rPr>
          <w:rFonts w:eastAsia="黑体" w:cs="Times New Roman"/>
          <w:bCs/>
          <w:sz w:val="32"/>
          <w:szCs w:val="32"/>
        </w:rPr>
        <w:t>-</w:t>
      </w:r>
      <w:r>
        <w:rPr>
          <w:rFonts w:eastAsia="仿宋_GB2312" w:cs="Times New Roman"/>
          <w:sz w:val="32"/>
          <w:szCs w:val="32"/>
        </w:rPr>
        <w:t>4.5℃，极端最低气温</w:t>
      </w:r>
      <w:r>
        <w:rPr>
          <w:rFonts w:eastAsia="黑体" w:cs="Times New Roman"/>
          <w:bCs/>
          <w:sz w:val="32"/>
          <w:szCs w:val="32"/>
        </w:rPr>
        <w:t>-</w:t>
      </w:r>
      <w:r>
        <w:rPr>
          <w:rFonts w:eastAsia="仿宋_GB2312" w:cs="Times New Roman"/>
          <w:sz w:val="32"/>
          <w:szCs w:val="32"/>
        </w:rPr>
        <w:t>22.5℃。全年无霜期平均198天，年均日照2659.9小时。冬、春季受东北干冷气流控制，多风少雨，气候干燥。夏季受东南暖湿气流影响，降水集中。年均降水量555.3毫米，雨季降水量450.4毫米，占全年总降水量的81.11%。</w:t>
      </w:r>
    </w:p>
    <w:p>
      <w:pPr>
        <w:spacing w:line="590" w:lineRule="exact"/>
        <w:ind w:firstLine="640"/>
        <w:rPr>
          <w:rFonts w:eastAsia="仿宋_GB2312" w:cs="Times New Roman"/>
          <w:sz w:val="32"/>
          <w:szCs w:val="32"/>
        </w:rPr>
      </w:pPr>
      <w:r>
        <w:rPr>
          <w:rFonts w:eastAsia="仿宋_GB2312" w:cs="Times New Roman"/>
          <w:sz w:val="32"/>
          <w:szCs w:val="32"/>
        </w:rPr>
        <w:t>安次区为暖温带半干旱半湿润季风气候，多年平均气温11.9℃；极端最高气温40.3℃，极端最低气温</w:t>
      </w:r>
      <w:r>
        <w:rPr>
          <w:rFonts w:eastAsia="黑体" w:cs="Times New Roman"/>
          <w:bCs/>
          <w:sz w:val="32"/>
          <w:szCs w:val="32"/>
        </w:rPr>
        <w:t>-</w:t>
      </w:r>
      <w:r>
        <w:rPr>
          <w:rFonts w:eastAsia="仿宋_GB2312" w:cs="Times New Roman"/>
          <w:sz w:val="32"/>
          <w:szCs w:val="32"/>
        </w:rPr>
        <w:t>25.5℃，平均气温年较差30.6℃，最大日较差27.3℃。作物生长期平均242天，无霜期平均198天，最长256天，最短175天。年平均日照数2659.9小时。由于安次区位于燕山南麓，暖湿气流遇到山坡被抬升容易使降水增大，故降水四季分布尤其不均匀，主要集中在夏季，6至8月份降水量占年降水量的71.8%</w:t>
      </w:r>
      <w:r>
        <w:rPr>
          <w:rFonts w:hint="eastAsia" w:eastAsia="仿宋_GB2312" w:cs="Times New Roman"/>
          <w:sz w:val="32"/>
          <w:szCs w:val="32"/>
        </w:rPr>
        <w:t>~</w:t>
      </w:r>
      <w:r>
        <w:rPr>
          <w:rFonts w:eastAsia="仿宋_GB2312" w:cs="Times New Roman"/>
          <w:sz w:val="32"/>
          <w:szCs w:val="32"/>
        </w:rPr>
        <w:t>74.2%。年平均降水量555.7毫米，年平均降水日数98.8天。极端最大降水量1087.0毫米（1994年），最小降水</w:t>
      </w:r>
      <w:r>
        <w:rPr>
          <w:rFonts w:hint="eastAsia" w:eastAsia="仿宋_GB2312" w:cs="Times New Roman"/>
          <w:sz w:val="32"/>
          <w:szCs w:val="32"/>
        </w:rPr>
        <w:t>量</w:t>
      </w:r>
      <w:r>
        <w:rPr>
          <w:rFonts w:eastAsia="仿宋_GB2312" w:cs="Times New Roman"/>
          <w:sz w:val="32"/>
          <w:szCs w:val="32"/>
        </w:rPr>
        <w:t>272.9毫米（1972年）。</w:t>
      </w:r>
    </w:p>
    <w:p>
      <w:pPr>
        <w:pStyle w:val="4"/>
        <w:spacing w:line="590" w:lineRule="exact"/>
        <w:ind w:firstLine="643"/>
      </w:pPr>
      <w:bookmarkStart w:id="48" w:name="_Toc21613495"/>
      <w:bookmarkStart w:id="49" w:name="_Toc459303072"/>
      <w:r>
        <w:t>2.2.3</w:t>
      </w:r>
      <w:r>
        <w:rPr>
          <w:rFonts w:hint="eastAsia"/>
        </w:rPr>
        <w:t>水资源概况</w:t>
      </w:r>
      <w:bookmarkEnd w:id="48"/>
      <w:bookmarkEnd w:id="49"/>
    </w:p>
    <w:p>
      <w:pPr>
        <w:spacing w:line="590" w:lineRule="exact"/>
        <w:ind w:firstLine="616"/>
        <w:rPr>
          <w:rFonts w:eastAsia="仿宋_GB2312" w:cs="Times New Roman"/>
          <w:spacing w:val="-6"/>
          <w:sz w:val="32"/>
          <w:szCs w:val="32"/>
        </w:rPr>
      </w:pPr>
      <w:r>
        <w:rPr>
          <w:rFonts w:eastAsia="仿宋_GB2312" w:cs="Times New Roman"/>
          <w:spacing w:val="-6"/>
          <w:sz w:val="32"/>
          <w:szCs w:val="32"/>
        </w:rPr>
        <w:t>根据《廊坊市2016年气候公报》2016年全市平均降水量为555.1毫米，比常年（519.0毫米）偏多6.9%，属于历史上降水正常年份。7月降水量为全年之最，达到251.1毫米，较常年（159.6毫米）偏多了57.3%，3月全市无降水天气出现，降水量为0毫米。</w:t>
      </w:r>
    </w:p>
    <w:p>
      <w:pPr>
        <w:spacing w:line="590" w:lineRule="exact"/>
        <w:ind w:firstLine="632"/>
        <w:rPr>
          <w:rFonts w:eastAsia="仿宋_GB2312" w:cs="Times New Roman"/>
          <w:spacing w:val="-2"/>
          <w:sz w:val="32"/>
          <w:szCs w:val="32"/>
        </w:rPr>
      </w:pPr>
      <w:r>
        <w:rPr>
          <w:rFonts w:eastAsia="仿宋_GB2312" w:cs="Times New Roman"/>
          <w:spacing w:val="-2"/>
          <w:sz w:val="32"/>
          <w:szCs w:val="32"/>
        </w:rPr>
        <w:t>廊坊市水资源主要以地下水为主，根据《2017年河北省水资源公报》，2017年廊坊市地表水资源总量为0.43亿立方米，地下水资源量5.47亿立方米，水资源总量5.83亿立方米，比多年平均值减少2.21亿立方米，属于枯水年份。廊坊市属于极度缺水地区，其中2017年的人均水资源量仅为123立方米，低于河北省的人均水资源量179立方米。2018年，由上游地区流入廊坊市的地表水量约15亿立方米，入境河道分别是</w:t>
      </w:r>
      <w:r>
        <w:rPr>
          <w:rFonts w:eastAsia="仿宋" w:cs="Times New Roman"/>
          <w:spacing w:val="-2"/>
          <w:sz w:val="32"/>
          <w:szCs w:val="32"/>
        </w:rPr>
        <w:t>泃</w:t>
      </w:r>
      <w:r>
        <w:rPr>
          <w:rFonts w:eastAsia="仿宋_GB2312" w:cs="Times New Roman"/>
          <w:spacing w:val="-2"/>
          <w:sz w:val="32"/>
          <w:szCs w:val="32"/>
        </w:rPr>
        <w:t>河、潮白河、北运河、龙河，全市出境水量通过</w:t>
      </w:r>
      <w:r>
        <w:rPr>
          <w:rFonts w:eastAsia="仿宋" w:cs="Times New Roman"/>
          <w:spacing w:val="-2"/>
          <w:sz w:val="32"/>
          <w:szCs w:val="32"/>
        </w:rPr>
        <w:t>泃</w:t>
      </w:r>
      <w:r>
        <w:rPr>
          <w:rFonts w:eastAsia="仿宋_GB2312" w:cs="Times New Roman"/>
          <w:spacing w:val="-2"/>
          <w:sz w:val="32"/>
          <w:szCs w:val="32"/>
        </w:rPr>
        <w:t>河、潮白河、北运河、龙河下泄。</w:t>
      </w:r>
    </w:p>
    <w:p>
      <w:pPr>
        <w:spacing w:line="590" w:lineRule="exact"/>
        <w:ind w:firstLine="640"/>
        <w:rPr>
          <w:rFonts w:eastAsia="仿宋_GB2312" w:cs="Times New Roman"/>
          <w:sz w:val="32"/>
          <w:szCs w:val="32"/>
        </w:rPr>
      </w:pPr>
      <w:r>
        <w:rPr>
          <w:rFonts w:eastAsia="仿宋_GB2312" w:cs="Times New Roman"/>
          <w:sz w:val="32"/>
          <w:szCs w:val="32"/>
        </w:rPr>
        <w:t>广阳区、安次区水资源状况略好于廊坊市平均水平，但仍属于严重缺水地区。其中，广阳区多年平均水资源量8886万立方米，人均水资源可利用量237立方米，亩均水资源可利用量386立方米；安次区多年平均水资源量1.02亿立方米，人均水资源占有量为280立方米。</w:t>
      </w:r>
    </w:p>
    <w:p>
      <w:pPr>
        <w:spacing w:after="222" w:afterLines="50" w:line="590" w:lineRule="exact"/>
        <w:ind w:firstLine="640"/>
        <w:rPr>
          <w:rFonts w:eastAsia="仿宋_GB2312" w:cs="Times New Roman"/>
          <w:sz w:val="32"/>
          <w:szCs w:val="32"/>
        </w:rPr>
      </w:pPr>
      <w:r>
        <w:rPr>
          <w:rFonts w:eastAsia="仿宋_GB2312" w:cs="Times New Roman"/>
          <w:sz w:val="32"/>
          <w:szCs w:val="32"/>
        </w:rPr>
        <w:t>通过对龙河北昌水文站多年观测的流量数据进行分析（图2</w:t>
      </w:r>
      <w:r>
        <w:rPr>
          <w:rFonts w:eastAsia="黑体" w:cs="Times New Roman"/>
          <w:bCs/>
          <w:sz w:val="32"/>
          <w:szCs w:val="32"/>
        </w:rPr>
        <w:t>-</w:t>
      </w:r>
      <w:r>
        <w:rPr>
          <w:rFonts w:eastAsia="仿宋_GB2312" w:cs="Times New Roman"/>
          <w:sz w:val="32"/>
          <w:szCs w:val="32"/>
        </w:rPr>
        <w:t>2），发现2006</w:t>
      </w:r>
      <w:r>
        <w:rPr>
          <w:rFonts w:hint="eastAsia" w:eastAsia="仿宋_GB2312" w:cs="Times New Roman"/>
          <w:sz w:val="32"/>
          <w:szCs w:val="32"/>
        </w:rPr>
        <w:t>—</w:t>
      </w:r>
      <w:r>
        <w:rPr>
          <w:rFonts w:eastAsia="仿宋_GB2312" w:cs="Times New Roman"/>
          <w:sz w:val="32"/>
          <w:szCs w:val="32"/>
        </w:rPr>
        <w:t>2015年十年间，北昌水文站观测的流量最高出现在2007年，为0.166亿立方米，最低出现在2011年，仅有0.019亿立方米，并且通过长时间序列的流量数据分析可以发现，近十年来龙河的流量具有明显的下降趋势。</w:t>
      </w:r>
    </w:p>
    <w:p>
      <w:pPr>
        <w:spacing w:line="240" w:lineRule="auto"/>
        <w:ind w:firstLine="0" w:firstLineChars="0"/>
        <w:jc w:val="center"/>
        <w:rPr>
          <w:color w:val="FF0000"/>
          <w:highlight w:val="yellow"/>
        </w:rPr>
      </w:pPr>
      <w:r>
        <w:drawing>
          <wp:inline distT="0" distB="0" distL="114300" distR="114300">
            <wp:extent cx="5422900" cy="3359150"/>
            <wp:effectExtent l="5080" t="4445" r="20320" b="8255"/>
            <wp:docPr id="77" name="图表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 xml:space="preserve">2 </w:t>
      </w:r>
      <w:r>
        <w:rPr>
          <w:rFonts w:hint="eastAsia" w:ascii="Times New Roman" w:hAnsi="Times New Roman"/>
          <w:b/>
        </w:rPr>
        <w:t>龙河北昌水文站近十年来流量数据</w:t>
      </w:r>
    </w:p>
    <w:p>
      <w:pPr>
        <w:pStyle w:val="3"/>
        <w:spacing w:line="590" w:lineRule="exact"/>
        <w:ind w:firstLine="643"/>
        <w:rPr>
          <w:rFonts w:eastAsia="楷体_GB2312"/>
        </w:rPr>
      </w:pPr>
      <w:bookmarkStart w:id="50" w:name="_Toc21613496"/>
      <w:r>
        <w:rPr>
          <w:rFonts w:eastAsia="楷体_GB2312"/>
        </w:rPr>
        <w:t>2.3</w:t>
      </w:r>
      <w:r>
        <w:rPr>
          <w:rFonts w:hint="eastAsia" w:eastAsia="楷体_GB2312"/>
        </w:rPr>
        <w:t>社会经济概况</w:t>
      </w:r>
      <w:bookmarkEnd w:id="50"/>
    </w:p>
    <w:p>
      <w:pPr>
        <w:spacing w:after="222" w:afterLines="50" w:line="590" w:lineRule="exact"/>
        <w:ind w:firstLine="640"/>
        <w:rPr>
          <w:rFonts w:eastAsia="仿宋_GB2312" w:cs="Times New Roman"/>
          <w:sz w:val="32"/>
          <w:szCs w:val="32"/>
        </w:rPr>
      </w:pPr>
      <w:r>
        <w:rPr>
          <w:rFonts w:eastAsia="仿宋_GB2312" w:cs="Times New Roman"/>
          <w:sz w:val="32"/>
          <w:szCs w:val="32"/>
        </w:rPr>
        <w:t>2018年，全市生产总值3108.2亿元，同比增长6.5%。其中，第一产业增加值196.7亿元，同比增长0.8%；第二产业增加值1138.1亿元，同比增长3.5%；第三产业增加值1773.5亿元，同比增长9.8%。产业结构继续优化，第一、第二、第三产业的比值为6.3:36.6:57.1。全市人均生产总值为64906元，同比增长4.1%。</w:t>
      </w:r>
    </w:p>
    <w:p>
      <w:pPr>
        <w:pStyle w:val="8"/>
        <w:rPr>
          <w:rFonts w:ascii="Times New Roman" w:hAnsi="Times New Roman"/>
        </w:rPr>
      </w:pPr>
      <w:r>
        <w:rPr>
          <w:rFonts w:ascii="Times New Roman" w:hAnsi="Times New Roman"/>
        </w:rPr>
        <w:drawing>
          <wp:inline distT="0" distB="0" distL="114300" distR="114300">
            <wp:extent cx="3836035" cy="2515870"/>
            <wp:effectExtent l="4445" t="4445" r="7620" b="13335"/>
            <wp:docPr id="78" name="图表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pPr>
        <w:pStyle w:val="8"/>
        <w:spacing w:before="222" w:beforeLines="50"/>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3</w:t>
      </w:r>
      <w:r>
        <w:rPr>
          <w:rFonts w:hint="eastAsia" w:ascii="Times New Roman" w:hAnsi="Times New Roman"/>
          <w:b/>
        </w:rPr>
        <w:t>　</w:t>
      </w:r>
      <w:r>
        <w:rPr>
          <w:rFonts w:ascii="Times New Roman" w:hAnsi="Times New Roman"/>
          <w:b/>
        </w:rPr>
        <w:t>2013—2018</w:t>
      </w:r>
      <w:r>
        <w:rPr>
          <w:rFonts w:hint="eastAsia" w:ascii="Times New Roman" w:hAnsi="Times New Roman"/>
          <w:b/>
        </w:rPr>
        <w:t>年廊坊市三产占比</w:t>
      </w:r>
    </w:p>
    <w:p>
      <w:pPr>
        <w:pStyle w:val="4"/>
        <w:spacing w:line="590" w:lineRule="exact"/>
        <w:ind w:firstLine="643"/>
      </w:pPr>
      <w:bookmarkStart w:id="51" w:name="_Toc3402"/>
      <w:bookmarkStart w:id="52" w:name="_Toc30852"/>
      <w:bookmarkStart w:id="53" w:name="_Toc32133"/>
      <w:bookmarkStart w:id="54" w:name="_Toc31657"/>
      <w:bookmarkStart w:id="55" w:name="_Toc28195"/>
      <w:bookmarkStart w:id="56" w:name="_Toc21613497"/>
      <w:bookmarkStart w:id="57" w:name="_Toc23868"/>
      <w:bookmarkStart w:id="58" w:name="_Toc14214"/>
      <w:bookmarkStart w:id="59" w:name="_Toc3482"/>
      <w:bookmarkStart w:id="60" w:name="_Toc14221"/>
      <w:bookmarkStart w:id="61" w:name="_Toc5498"/>
      <w:r>
        <w:t>2.3.1</w:t>
      </w:r>
      <w:r>
        <w:rPr>
          <w:rFonts w:hint="eastAsia"/>
        </w:rPr>
        <w:t>第一产业</w:t>
      </w:r>
      <w:bookmarkEnd w:id="51"/>
      <w:bookmarkEnd w:id="52"/>
      <w:bookmarkEnd w:id="53"/>
      <w:bookmarkEnd w:id="54"/>
      <w:bookmarkEnd w:id="55"/>
      <w:bookmarkEnd w:id="56"/>
      <w:bookmarkEnd w:id="57"/>
      <w:bookmarkEnd w:id="58"/>
      <w:bookmarkEnd w:id="59"/>
      <w:bookmarkEnd w:id="60"/>
      <w:bookmarkEnd w:id="61"/>
    </w:p>
    <w:p>
      <w:pPr>
        <w:spacing w:line="590" w:lineRule="exact"/>
        <w:ind w:firstLine="640"/>
        <w:rPr>
          <w:rFonts w:eastAsia="仿宋_GB2312" w:cs="Times New Roman"/>
          <w:sz w:val="32"/>
          <w:szCs w:val="32"/>
        </w:rPr>
      </w:pPr>
      <w:r>
        <w:rPr>
          <w:rFonts w:eastAsia="仿宋_GB2312" w:cs="Times New Roman"/>
          <w:sz w:val="32"/>
          <w:szCs w:val="32"/>
        </w:rPr>
        <w:t>廊坊农业生产基本可划分为三个区域，一是北部三县（市）潮白河、</w:t>
      </w:r>
      <w:r>
        <w:rPr>
          <w:rFonts w:eastAsia="仿宋" w:cs="Times New Roman"/>
          <w:sz w:val="32"/>
          <w:szCs w:val="32"/>
        </w:rPr>
        <w:t>泃</w:t>
      </w:r>
      <w:r>
        <w:rPr>
          <w:rFonts w:eastAsia="仿宋_GB2312" w:cs="Times New Roman"/>
          <w:sz w:val="32"/>
          <w:szCs w:val="32"/>
        </w:rPr>
        <w:t>河、北运河流域农业区，土质、水利条件较好，为玉米、小麦、蔬菜主产区；二是中部四县（区）永定河流域农业区，土质多沙壤，为玉米、小麦、蔬菜、水果主产区；三是南部三县（市）大清河、子牙河流域农业区，土质多盐碱，为棉花、油料、杂粮主产区。在种植业内部种植结构中，瓜菜实现了周年生产、四季供应，成为种植业中创收最多的主导产业。</w:t>
      </w:r>
    </w:p>
    <w:p>
      <w:pPr>
        <w:spacing w:line="590" w:lineRule="exact"/>
        <w:ind w:firstLine="640"/>
        <w:rPr>
          <w:rFonts w:eastAsia="仿宋_GB2312" w:cs="Times New Roman"/>
          <w:sz w:val="32"/>
          <w:szCs w:val="32"/>
        </w:rPr>
      </w:pPr>
      <w:r>
        <w:rPr>
          <w:rFonts w:eastAsia="仿宋_GB2312" w:cs="Times New Roman"/>
          <w:sz w:val="32"/>
          <w:szCs w:val="32"/>
        </w:rPr>
        <w:t>2018年，廊坊市粮食播种面积444.1万亩，同比下降1.4%；粮食总产量161.7万吨，同比增长1.4%。其中，冬小麦播种面积102.7万亩，增长3.2%，产量40.0万吨，增长 3.4%；玉米播种面积306.2万亩，下降3.6%，产量113.4万吨，与上年持平；蔬菜及食用菌播种面积152.3万亩，同比下降0.7%，产量622.6万吨，同比下降2.5%；棉花播种面积14.8万亩，同比下降26.6%，产量1.1万吨，同比下降25.6%；油料作物播种面积22.7万亩，同比下降1.8%，产量4.0万吨，同比增长0.4%；肉类总产量27.1万吨，同比下降1.6%。其中，猪肉产量14.8万吨，下降2.7%；牛肉产量5.1万吨，增长2.9%；羊肉产量2.5万吨，增长0.7%；禽肉产量4.5万吨，下降3.5%；牛奶产量19.5万吨，同比增长5.2%；禽蛋产量16.5万吨，同比增长5.2%；水产品总产量3.4万吨，同比下降3.8%。</w:t>
      </w:r>
    </w:p>
    <w:p>
      <w:pPr>
        <w:pStyle w:val="4"/>
        <w:spacing w:line="590" w:lineRule="exact"/>
        <w:ind w:firstLine="643"/>
      </w:pPr>
      <w:bookmarkStart w:id="62" w:name="_Toc28078"/>
      <w:bookmarkStart w:id="63" w:name="_Toc21613498"/>
      <w:bookmarkStart w:id="64" w:name="_Toc28976"/>
      <w:bookmarkStart w:id="65" w:name="_Toc11283"/>
      <w:bookmarkStart w:id="66" w:name="_Toc2259"/>
      <w:bookmarkStart w:id="67" w:name="_Toc11272"/>
      <w:bookmarkStart w:id="68" w:name="_Toc1637"/>
      <w:bookmarkStart w:id="69" w:name="_Toc13983"/>
      <w:bookmarkStart w:id="70" w:name="_Toc2568"/>
      <w:bookmarkStart w:id="71" w:name="_Toc18851"/>
      <w:bookmarkStart w:id="72" w:name="_Toc11038"/>
      <w:r>
        <w:t>2.3.2</w:t>
      </w:r>
      <w:r>
        <w:rPr>
          <w:rFonts w:hint="eastAsia"/>
        </w:rPr>
        <w:t>第二产业</w:t>
      </w:r>
      <w:bookmarkEnd w:id="62"/>
      <w:bookmarkEnd w:id="63"/>
      <w:bookmarkEnd w:id="64"/>
      <w:bookmarkEnd w:id="65"/>
      <w:bookmarkEnd w:id="66"/>
      <w:bookmarkEnd w:id="67"/>
      <w:bookmarkEnd w:id="68"/>
      <w:bookmarkEnd w:id="69"/>
      <w:bookmarkEnd w:id="70"/>
      <w:bookmarkEnd w:id="71"/>
      <w:bookmarkEnd w:id="72"/>
    </w:p>
    <w:p>
      <w:pPr>
        <w:spacing w:line="590" w:lineRule="exact"/>
        <w:ind w:firstLine="640"/>
        <w:rPr>
          <w:rFonts w:eastAsia="仿宋_GB2312" w:cs="Times New Roman"/>
          <w:sz w:val="32"/>
          <w:szCs w:val="32"/>
        </w:rPr>
      </w:pPr>
      <w:r>
        <w:rPr>
          <w:rFonts w:eastAsia="仿宋_GB2312" w:cs="Times New Roman"/>
          <w:sz w:val="32"/>
          <w:szCs w:val="32"/>
        </w:rPr>
        <w:t>2018</w:t>
      </w:r>
      <w:r>
        <w:rPr>
          <w:rFonts w:hint="eastAsia" w:eastAsia="仿宋_GB2312" w:cs="Times New Roman"/>
          <w:sz w:val="32"/>
          <w:szCs w:val="32"/>
        </w:rPr>
        <w:t>年，廊坊市全部工业增加值</w:t>
      </w:r>
      <w:r>
        <w:rPr>
          <w:rFonts w:eastAsia="仿宋_GB2312" w:cs="Times New Roman"/>
          <w:sz w:val="32"/>
          <w:szCs w:val="32"/>
        </w:rPr>
        <w:t>1061.3</w:t>
      </w:r>
      <w:r>
        <w:rPr>
          <w:rFonts w:hint="eastAsia" w:eastAsia="仿宋_GB2312" w:cs="Times New Roman"/>
          <w:sz w:val="32"/>
          <w:szCs w:val="32"/>
        </w:rPr>
        <w:t>亿元，同比增长</w:t>
      </w:r>
      <w:r>
        <w:rPr>
          <w:rFonts w:eastAsia="仿宋_GB2312" w:cs="Times New Roman"/>
          <w:sz w:val="32"/>
          <w:szCs w:val="32"/>
        </w:rPr>
        <w:t>2.0%</w:t>
      </w:r>
      <w:r>
        <w:rPr>
          <w:rFonts w:hint="eastAsia" w:eastAsia="仿宋_GB2312" w:cs="Times New Roman"/>
          <w:sz w:val="32"/>
          <w:szCs w:val="32"/>
        </w:rPr>
        <w:t>。其中，规模以上工业增加值</w:t>
      </w:r>
      <w:r>
        <w:rPr>
          <w:rFonts w:eastAsia="仿宋_GB2312" w:cs="Times New Roman"/>
          <w:sz w:val="32"/>
          <w:szCs w:val="32"/>
        </w:rPr>
        <w:t>821.5</w:t>
      </w:r>
      <w:r>
        <w:rPr>
          <w:rFonts w:hint="eastAsia" w:eastAsia="仿宋_GB2312" w:cs="Times New Roman"/>
          <w:sz w:val="32"/>
          <w:szCs w:val="32"/>
        </w:rPr>
        <w:t>亿元，增长</w:t>
      </w:r>
      <w:r>
        <w:rPr>
          <w:rFonts w:eastAsia="仿宋_GB2312" w:cs="Times New Roman"/>
          <w:sz w:val="32"/>
          <w:szCs w:val="32"/>
        </w:rPr>
        <w:t>2.6%</w:t>
      </w:r>
      <w:r>
        <w:rPr>
          <w:rFonts w:hint="eastAsia" w:eastAsia="仿宋_GB2312" w:cs="Times New Roman"/>
          <w:sz w:val="32"/>
          <w:szCs w:val="32"/>
        </w:rPr>
        <w:t>。在规模以上工业中，分经济类型看，国有及国有控股企业增加值增长</w:t>
      </w:r>
      <w:r>
        <w:rPr>
          <w:rFonts w:eastAsia="仿宋_GB2312" w:cs="Times New Roman"/>
          <w:sz w:val="32"/>
          <w:szCs w:val="32"/>
        </w:rPr>
        <w:t>2.6%</w:t>
      </w:r>
      <w:r>
        <w:rPr>
          <w:rFonts w:hint="eastAsia" w:eastAsia="仿宋_GB2312" w:cs="Times New Roman"/>
          <w:sz w:val="32"/>
          <w:szCs w:val="32"/>
        </w:rPr>
        <w:t>，集体企业下降</w:t>
      </w:r>
      <w:r>
        <w:rPr>
          <w:rFonts w:eastAsia="仿宋_GB2312" w:cs="Times New Roman"/>
          <w:sz w:val="32"/>
          <w:szCs w:val="32"/>
        </w:rPr>
        <w:t>12.2%</w:t>
      </w:r>
      <w:r>
        <w:rPr>
          <w:rFonts w:hint="eastAsia" w:eastAsia="仿宋_GB2312" w:cs="Times New Roman"/>
          <w:sz w:val="32"/>
          <w:szCs w:val="32"/>
        </w:rPr>
        <w:t>，股份制企业增长</w:t>
      </w:r>
      <w:r>
        <w:rPr>
          <w:rFonts w:eastAsia="仿宋_GB2312" w:cs="Times New Roman"/>
          <w:sz w:val="32"/>
          <w:szCs w:val="32"/>
        </w:rPr>
        <w:t>7.6%</w:t>
      </w:r>
      <w:r>
        <w:rPr>
          <w:rFonts w:hint="eastAsia" w:eastAsia="仿宋_GB2312" w:cs="Times New Roman"/>
          <w:sz w:val="32"/>
          <w:szCs w:val="32"/>
        </w:rPr>
        <w:t>，外商及港澳台企业下降</w:t>
      </w:r>
      <w:r>
        <w:rPr>
          <w:rFonts w:eastAsia="仿宋_GB2312" w:cs="Times New Roman"/>
          <w:sz w:val="32"/>
          <w:szCs w:val="32"/>
        </w:rPr>
        <w:t>10.5%</w:t>
      </w:r>
      <w:r>
        <w:rPr>
          <w:rFonts w:hint="eastAsia" w:eastAsia="仿宋_GB2312" w:cs="Times New Roman"/>
          <w:sz w:val="32"/>
          <w:szCs w:val="32"/>
        </w:rPr>
        <w:t>；分轻重工业看，轻工业下降</w:t>
      </w:r>
      <w:r>
        <w:rPr>
          <w:rFonts w:eastAsia="仿宋_GB2312" w:cs="Times New Roman"/>
          <w:sz w:val="32"/>
          <w:szCs w:val="32"/>
        </w:rPr>
        <w:t>2.2%</w:t>
      </w:r>
      <w:r>
        <w:rPr>
          <w:rFonts w:hint="eastAsia" w:eastAsia="仿宋_GB2312" w:cs="Times New Roman"/>
          <w:sz w:val="32"/>
          <w:szCs w:val="32"/>
        </w:rPr>
        <w:t>，重工业增长</w:t>
      </w:r>
      <w:r>
        <w:rPr>
          <w:rFonts w:eastAsia="仿宋_GB2312" w:cs="Times New Roman"/>
          <w:sz w:val="32"/>
          <w:szCs w:val="32"/>
        </w:rPr>
        <w:t>4.5%</w:t>
      </w:r>
      <w:r>
        <w:rPr>
          <w:rFonts w:hint="eastAsia" w:eastAsia="仿宋_GB2312" w:cs="Times New Roman"/>
          <w:sz w:val="32"/>
          <w:szCs w:val="32"/>
        </w:rPr>
        <w:t>；分行业来看，计算机通信及其他电子设备制造业、农副食品加工业、电力热力生产和供应业三个行业支撑作用较强，共拉动全市规模以上工业增加值增长</w:t>
      </w:r>
      <w:r>
        <w:rPr>
          <w:rFonts w:eastAsia="仿宋_GB2312" w:cs="Times New Roman"/>
          <w:sz w:val="32"/>
          <w:szCs w:val="32"/>
        </w:rPr>
        <w:t>3.0</w:t>
      </w:r>
      <w:r>
        <w:rPr>
          <w:rFonts w:hint="eastAsia" w:eastAsia="仿宋_GB2312" w:cs="Times New Roman"/>
          <w:sz w:val="32"/>
          <w:szCs w:val="32"/>
        </w:rPr>
        <w:t>个百分点；规模以上高新技术产业实现增加值</w:t>
      </w:r>
      <w:r>
        <w:rPr>
          <w:rFonts w:eastAsia="仿宋_GB2312" w:cs="Times New Roman"/>
          <w:sz w:val="32"/>
          <w:szCs w:val="32"/>
        </w:rPr>
        <w:t>215.3</w:t>
      </w:r>
      <w:r>
        <w:rPr>
          <w:rFonts w:hint="eastAsia" w:eastAsia="仿宋_GB2312" w:cs="Times New Roman"/>
          <w:sz w:val="32"/>
          <w:szCs w:val="32"/>
        </w:rPr>
        <w:t>亿元，同比增长</w:t>
      </w:r>
      <w:r>
        <w:rPr>
          <w:rFonts w:eastAsia="仿宋_GB2312" w:cs="Times New Roman"/>
          <w:sz w:val="32"/>
          <w:szCs w:val="32"/>
        </w:rPr>
        <w:t>9.9%</w:t>
      </w:r>
      <w:r>
        <w:rPr>
          <w:rFonts w:hint="eastAsia" w:eastAsia="仿宋_GB2312" w:cs="Times New Roman"/>
          <w:sz w:val="32"/>
          <w:szCs w:val="32"/>
        </w:rPr>
        <w:t>，增速高于规模以上工业</w:t>
      </w:r>
      <w:r>
        <w:rPr>
          <w:rFonts w:eastAsia="仿宋_GB2312" w:cs="Times New Roman"/>
          <w:sz w:val="32"/>
          <w:szCs w:val="32"/>
        </w:rPr>
        <w:t>7.3</w:t>
      </w:r>
      <w:r>
        <w:rPr>
          <w:rFonts w:hint="eastAsia" w:eastAsia="仿宋_GB2312" w:cs="Times New Roman"/>
          <w:sz w:val="32"/>
          <w:szCs w:val="32"/>
        </w:rPr>
        <w:t>个百分点，占规模以上工业比重达到</w:t>
      </w:r>
      <w:r>
        <w:rPr>
          <w:rFonts w:eastAsia="仿宋_GB2312" w:cs="Times New Roman"/>
          <w:sz w:val="32"/>
          <w:szCs w:val="32"/>
        </w:rPr>
        <w:t>26.2%</w:t>
      </w:r>
      <w:r>
        <w:rPr>
          <w:rFonts w:hint="eastAsia" w:eastAsia="仿宋_GB2312" w:cs="Times New Roman"/>
          <w:sz w:val="32"/>
          <w:szCs w:val="32"/>
        </w:rPr>
        <w:t>。</w:t>
      </w:r>
    </w:p>
    <w:p>
      <w:pPr>
        <w:pStyle w:val="4"/>
        <w:spacing w:line="590" w:lineRule="exact"/>
        <w:ind w:firstLine="643"/>
      </w:pPr>
      <w:bookmarkStart w:id="73" w:name="_Toc16780"/>
      <w:bookmarkStart w:id="74" w:name="_Toc16044"/>
      <w:bookmarkStart w:id="75" w:name="_Toc4576"/>
      <w:bookmarkStart w:id="76" w:name="_Toc7799"/>
      <w:bookmarkStart w:id="77" w:name="_Toc32435"/>
      <w:bookmarkStart w:id="78" w:name="_Toc20205"/>
      <w:bookmarkStart w:id="79" w:name="_Toc3621"/>
      <w:bookmarkStart w:id="80" w:name="_Toc21613499"/>
      <w:bookmarkStart w:id="81" w:name="_Toc10026"/>
      <w:bookmarkStart w:id="82" w:name="_Toc28993"/>
      <w:bookmarkStart w:id="83" w:name="_Toc20500"/>
      <w:r>
        <w:t>2.3.3</w:t>
      </w:r>
      <w:r>
        <w:rPr>
          <w:rFonts w:hint="eastAsia"/>
        </w:rPr>
        <w:t>第三产业</w:t>
      </w:r>
      <w:bookmarkEnd w:id="73"/>
      <w:bookmarkEnd w:id="74"/>
      <w:bookmarkEnd w:id="75"/>
      <w:bookmarkEnd w:id="76"/>
      <w:bookmarkEnd w:id="77"/>
      <w:bookmarkEnd w:id="78"/>
      <w:bookmarkEnd w:id="79"/>
      <w:bookmarkEnd w:id="80"/>
      <w:bookmarkEnd w:id="81"/>
      <w:bookmarkEnd w:id="82"/>
      <w:bookmarkEnd w:id="83"/>
    </w:p>
    <w:p>
      <w:pPr>
        <w:spacing w:line="590" w:lineRule="exact"/>
        <w:ind w:firstLine="643"/>
        <w:rPr>
          <w:rFonts w:eastAsia="仿宋_GB2312" w:cs="Times New Roman"/>
          <w:sz w:val="32"/>
          <w:szCs w:val="32"/>
        </w:rPr>
      </w:pPr>
      <w:r>
        <w:rPr>
          <w:rFonts w:hint="eastAsia" w:eastAsia="仿宋_GB2312" w:cs="Times New Roman"/>
          <w:b/>
          <w:sz w:val="32"/>
          <w:szCs w:val="32"/>
        </w:rPr>
        <w:t>国内贸易：</w:t>
      </w:r>
      <w:r>
        <w:rPr>
          <w:rFonts w:eastAsia="仿宋_GB2312" w:cs="Times New Roman"/>
          <w:sz w:val="32"/>
          <w:szCs w:val="32"/>
        </w:rPr>
        <w:t>2018</w:t>
      </w:r>
      <w:r>
        <w:rPr>
          <w:rFonts w:hint="eastAsia" w:eastAsia="仿宋_GB2312" w:cs="Times New Roman"/>
          <w:sz w:val="32"/>
          <w:szCs w:val="32"/>
        </w:rPr>
        <w:t>年，廊坊市社会消费品零售总额</w:t>
      </w:r>
      <w:r>
        <w:rPr>
          <w:rFonts w:eastAsia="仿宋_GB2312" w:cs="Times New Roman"/>
          <w:sz w:val="32"/>
          <w:szCs w:val="32"/>
        </w:rPr>
        <w:t>980.4</w:t>
      </w:r>
      <w:r>
        <w:rPr>
          <w:rFonts w:hint="eastAsia" w:eastAsia="仿宋_GB2312" w:cs="Times New Roman"/>
          <w:sz w:val="32"/>
          <w:szCs w:val="32"/>
        </w:rPr>
        <w:t>亿元，增长</w:t>
      </w:r>
      <w:r>
        <w:rPr>
          <w:rFonts w:eastAsia="仿宋_GB2312" w:cs="Times New Roman"/>
          <w:sz w:val="32"/>
          <w:szCs w:val="32"/>
        </w:rPr>
        <w:t>11.2%</w:t>
      </w:r>
      <w:r>
        <w:rPr>
          <w:rFonts w:hint="eastAsia" w:eastAsia="仿宋_GB2312" w:cs="Times New Roman"/>
          <w:sz w:val="32"/>
          <w:szCs w:val="32"/>
        </w:rPr>
        <w:t>。其中，限额以上企业（单位）消费品零售额</w:t>
      </w:r>
      <w:r>
        <w:rPr>
          <w:rFonts w:eastAsia="仿宋_GB2312" w:cs="Times New Roman"/>
          <w:sz w:val="32"/>
          <w:szCs w:val="32"/>
        </w:rPr>
        <w:t>328.3</w:t>
      </w:r>
      <w:r>
        <w:rPr>
          <w:rFonts w:hint="eastAsia" w:eastAsia="仿宋_GB2312" w:cs="Times New Roman"/>
          <w:sz w:val="32"/>
          <w:szCs w:val="32"/>
        </w:rPr>
        <w:t>亿元，增长</w:t>
      </w:r>
      <w:r>
        <w:rPr>
          <w:rFonts w:eastAsia="仿宋_GB2312" w:cs="Times New Roman"/>
          <w:sz w:val="32"/>
          <w:szCs w:val="32"/>
        </w:rPr>
        <w:t>14.3%</w:t>
      </w:r>
      <w:r>
        <w:rPr>
          <w:rFonts w:hint="eastAsia" w:eastAsia="仿宋_GB2312" w:cs="Times New Roman"/>
          <w:sz w:val="32"/>
          <w:szCs w:val="32"/>
        </w:rPr>
        <w:t>。分城乡看，城镇市场发展快于乡村市场，城镇市场实现零售额</w:t>
      </w:r>
      <w:r>
        <w:rPr>
          <w:rFonts w:eastAsia="仿宋_GB2312" w:cs="Times New Roman"/>
          <w:sz w:val="32"/>
          <w:szCs w:val="32"/>
        </w:rPr>
        <w:t>532.2</w:t>
      </w:r>
      <w:r>
        <w:rPr>
          <w:rFonts w:hint="eastAsia" w:eastAsia="仿宋_GB2312" w:cs="Times New Roman"/>
          <w:sz w:val="32"/>
          <w:szCs w:val="32"/>
        </w:rPr>
        <w:t>亿元，同比增长</w:t>
      </w:r>
      <w:r>
        <w:rPr>
          <w:rFonts w:eastAsia="仿宋_GB2312" w:cs="Times New Roman"/>
          <w:sz w:val="32"/>
          <w:szCs w:val="32"/>
        </w:rPr>
        <w:t>13.0%</w:t>
      </w:r>
      <w:r>
        <w:rPr>
          <w:rFonts w:hint="eastAsia" w:eastAsia="仿宋_GB2312" w:cs="Times New Roman"/>
          <w:sz w:val="32"/>
          <w:szCs w:val="32"/>
        </w:rPr>
        <w:t>；乡村市场实现零售额</w:t>
      </w:r>
      <w:r>
        <w:rPr>
          <w:rFonts w:eastAsia="仿宋_GB2312" w:cs="Times New Roman"/>
          <w:sz w:val="32"/>
          <w:szCs w:val="32"/>
        </w:rPr>
        <w:t>448.1</w:t>
      </w:r>
      <w:r>
        <w:rPr>
          <w:rFonts w:hint="eastAsia" w:eastAsia="仿宋_GB2312" w:cs="Times New Roman"/>
          <w:sz w:val="32"/>
          <w:szCs w:val="32"/>
        </w:rPr>
        <w:t>亿元，同比增长</w:t>
      </w:r>
      <w:r>
        <w:rPr>
          <w:rFonts w:eastAsia="仿宋_GB2312" w:cs="Times New Roman"/>
          <w:sz w:val="32"/>
          <w:szCs w:val="32"/>
        </w:rPr>
        <w:t>9.1%</w:t>
      </w:r>
      <w:r>
        <w:rPr>
          <w:rFonts w:hint="eastAsia" w:eastAsia="仿宋_GB2312" w:cs="Times New Roman"/>
          <w:sz w:val="32"/>
          <w:szCs w:val="32"/>
        </w:rPr>
        <w:t>，增长率城镇市场高于乡村市场</w:t>
      </w:r>
      <w:r>
        <w:rPr>
          <w:rFonts w:eastAsia="仿宋_GB2312" w:cs="Times New Roman"/>
          <w:sz w:val="32"/>
          <w:szCs w:val="32"/>
        </w:rPr>
        <w:t>3.9</w:t>
      </w:r>
      <w:r>
        <w:rPr>
          <w:rFonts w:hint="eastAsia" w:eastAsia="仿宋_GB2312" w:cs="Times New Roman"/>
          <w:sz w:val="32"/>
          <w:szCs w:val="32"/>
        </w:rPr>
        <w:t>个百分点。</w:t>
      </w:r>
    </w:p>
    <w:p>
      <w:pPr>
        <w:spacing w:line="590" w:lineRule="exact"/>
        <w:ind w:firstLine="643"/>
        <w:rPr>
          <w:rFonts w:eastAsia="仿宋_GB2312" w:cs="Times New Roman"/>
          <w:sz w:val="32"/>
          <w:szCs w:val="32"/>
        </w:rPr>
      </w:pPr>
      <w:r>
        <w:rPr>
          <w:rFonts w:hint="eastAsia" w:eastAsia="仿宋_GB2312" w:cs="Times New Roman"/>
          <w:b/>
          <w:sz w:val="32"/>
          <w:szCs w:val="32"/>
        </w:rPr>
        <w:t>对外经济：</w:t>
      </w:r>
      <w:r>
        <w:rPr>
          <w:rFonts w:eastAsia="仿宋_GB2312" w:cs="Times New Roman"/>
          <w:sz w:val="32"/>
          <w:szCs w:val="32"/>
        </w:rPr>
        <w:t>2018</w:t>
      </w:r>
      <w:r>
        <w:rPr>
          <w:rFonts w:hint="eastAsia" w:eastAsia="仿宋_GB2312" w:cs="Times New Roman"/>
          <w:sz w:val="32"/>
          <w:szCs w:val="32"/>
        </w:rPr>
        <w:t>年，廊坊市实际利用外资达到</w:t>
      </w:r>
      <w:r>
        <w:rPr>
          <w:rFonts w:eastAsia="仿宋_GB2312" w:cs="Times New Roman"/>
          <w:sz w:val="32"/>
          <w:szCs w:val="32"/>
        </w:rPr>
        <w:t>98838</w:t>
      </w:r>
      <w:r>
        <w:rPr>
          <w:rFonts w:hint="eastAsia" w:eastAsia="仿宋_GB2312" w:cs="Times New Roman"/>
          <w:sz w:val="32"/>
          <w:szCs w:val="32"/>
        </w:rPr>
        <w:t>万美元，同比增长</w:t>
      </w:r>
      <w:r>
        <w:rPr>
          <w:rFonts w:eastAsia="仿宋_GB2312" w:cs="Times New Roman"/>
          <w:sz w:val="32"/>
          <w:szCs w:val="32"/>
        </w:rPr>
        <w:t>23.2%</w:t>
      </w:r>
      <w:r>
        <w:rPr>
          <w:rFonts w:hint="eastAsia" w:eastAsia="仿宋_GB2312" w:cs="Times New Roman"/>
          <w:sz w:val="32"/>
          <w:szCs w:val="32"/>
        </w:rPr>
        <w:t>。全市入统项目</w:t>
      </w:r>
      <w:r>
        <w:rPr>
          <w:rFonts w:eastAsia="仿宋_GB2312" w:cs="Times New Roman"/>
          <w:sz w:val="32"/>
          <w:szCs w:val="32"/>
        </w:rPr>
        <w:t>59</w:t>
      </w:r>
      <w:r>
        <w:rPr>
          <w:rFonts w:hint="eastAsia" w:eastAsia="仿宋_GB2312" w:cs="Times New Roman"/>
          <w:sz w:val="32"/>
          <w:szCs w:val="32"/>
        </w:rPr>
        <w:t>个，外商直接投资</w:t>
      </w:r>
      <w:r>
        <w:rPr>
          <w:rFonts w:eastAsia="仿宋_GB2312" w:cs="Times New Roman"/>
          <w:sz w:val="32"/>
          <w:szCs w:val="32"/>
        </w:rPr>
        <w:t>96843</w:t>
      </w:r>
      <w:r>
        <w:rPr>
          <w:rFonts w:hint="eastAsia" w:eastAsia="仿宋_GB2312" w:cs="Times New Roman"/>
          <w:sz w:val="32"/>
          <w:szCs w:val="32"/>
        </w:rPr>
        <w:t>万美元，同比增长</w:t>
      </w:r>
      <w:r>
        <w:rPr>
          <w:rFonts w:eastAsia="仿宋_GB2312" w:cs="Times New Roman"/>
          <w:sz w:val="32"/>
          <w:szCs w:val="32"/>
        </w:rPr>
        <w:t>23.7%</w:t>
      </w:r>
      <w:r>
        <w:rPr>
          <w:rFonts w:hint="eastAsia" w:eastAsia="仿宋_GB2312" w:cs="Times New Roman"/>
          <w:sz w:val="32"/>
          <w:szCs w:val="32"/>
        </w:rPr>
        <w:t>。全市进出口总额完成</w:t>
      </w:r>
      <w:r>
        <w:rPr>
          <w:rFonts w:eastAsia="仿宋_GB2312" w:cs="Times New Roman"/>
          <w:sz w:val="32"/>
          <w:szCs w:val="32"/>
        </w:rPr>
        <w:t>370.5</w:t>
      </w:r>
      <w:r>
        <w:rPr>
          <w:rFonts w:hint="eastAsia" w:eastAsia="仿宋_GB2312" w:cs="Times New Roman"/>
          <w:sz w:val="32"/>
          <w:szCs w:val="32"/>
        </w:rPr>
        <w:t>亿元，同比增长</w:t>
      </w:r>
      <w:r>
        <w:rPr>
          <w:rFonts w:eastAsia="仿宋_GB2312" w:cs="Times New Roman"/>
          <w:sz w:val="32"/>
          <w:szCs w:val="32"/>
        </w:rPr>
        <w:t>11.4%</w:t>
      </w:r>
      <w:r>
        <w:rPr>
          <w:rFonts w:hint="eastAsia" w:eastAsia="仿宋_GB2312" w:cs="Times New Roman"/>
          <w:sz w:val="32"/>
          <w:szCs w:val="32"/>
        </w:rPr>
        <w:t>。其中，出口</w:t>
      </w:r>
      <w:r>
        <w:rPr>
          <w:rFonts w:eastAsia="仿宋_GB2312" w:cs="Times New Roman"/>
          <w:sz w:val="32"/>
          <w:szCs w:val="32"/>
        </w:rPr>
        <w:t>161.2</w:t>
      </w:r>
      <w:r>
        <w:rPr>
          <w:rFonts w:hint="eastAsia" w:eastAsia="仿宋_GB2312" w:cs="Times New Roman"/>
          <w:sz w:val="32"/>
          <w:szCs w:val="32"/>
        </w:rPr>
        <w:t>亿元（含</w:t>
      </w:r>
      <w:r>
        <w:rPr>
          <w:rFonts w:eastAsia="仿宋_GB2312" w:cs="Times New Roman"/>
          <w:sz w:val="32"/>
          <w:szCs w:val="32"/>
        </w:rPr>
        <w:t>“</w:t>
      </w:r>
      <w:r>
        <w:rPr>
          <w:rFonts w:hint="eastAsia" w:eastAsia="仿宋_GB2312" w:cs="Times New Roman"/>
          <w:sz w:val="32"/>
          <w:szCs w:val="32"/>
        </w:rPr>
        <w:t>一达通</w:t>
      </w:r>
      <w:r>
        <w:rPr>
          <w:rFonts w:eastAsia="仿宋_GB2312" w:cs="Times New Roman"/>
          <w:sz w:val="32"/>
          <w:szCs w:val="32"/>
        </w:rPr>
        <w:t>”</w:t>
      </w:r>
      <w:r>
        <w:rPr>
          <w:rFonts w:hint="eastAsia" w:eastAsia="仿宋_GB2312" w:cs="Times New Roman"/>
          <w:sz w:val="32"/>
          <w:szCs w:val="32"/>
        </w:rPr>
        <w:t>出口</w:t>
      </w:r>
      <w:r>
        <w:rPr>
          <w:rFonts w:eastAsia="仿宋_GB2312" w:cs="Times New Roman"/>
          <w:sz w:val="32"/>
          <w:szCs w:val="32"/>
        </w:rPr>
        <w:t>8.3</w:t>
      </w:r>
      <w:r>
        <w:rPr>
          <w:rFonts w:hint="eastAsia" w:eastAsia="仿宋_GB2312" w:cs="Times New Roman"/>
          <w:sz w:val="32"/>
          <w:szCs w:val="32"/>
        </w:rPr>
        <w:t>亿元），同比增长</w:t>
      </w:r>
      <w:r>
        <w:rPr>
          <w:rFonts w:eastAsia="仿宋_GB2312" w:cs="Times New Roman"/>
          <w:sz w:val="32"/>
          <w:szCs w:val="32"/>
        </w:rPr>
        <w:t>5.6%</w:t>
      </w:r>
      <w:r>
        <w:rPr>
          <w:rFonts w:hint="eastAsia" w:eastAsia="仿宋_GB2312" w:cs="Times New Roman"/>
          <w:sz w:val="32"/>
          <w:szCs w:val="32"/>
        </w:rPr>
        <w:t>；进口</w:t>
      </w:r>
      <w:r>
        <w:rPr>
          <w:rFonts w:eastAsia="仿宋_GB2312" w:cs="Times New Roman"/>
          <w:sz w:val="32"/>
          <w:szCs w:val="32"/>
        </w:rPr>
        <w:t>209.2</w:t>
      </w:r>
      <w:r>
        <w:rPr>
          <w:rFonts w:hint="eastAsia" w:eastAsia="仿宋_GB2312" w:cs="Times New Roman"/>
          <w:sz w:val="32"/>
          <w:szCs w:val="32"/>
        </w:rPr>
        <w:t>亿元，同比增长</w:t>
      </w:r>
      <w:r>
        <w:rPr>
          <w:rFonts w:eastAsia="仿宋_GB2312" w:cs="Times New Roman"/>
          <w:sz w:val="32"/>
          <w:szCs w:val="32"/>
        </w:rPr>
        <w:t>16.3%</w:t>
      </w:r>
      <w:r>
        <w:rPr>
          <w:rFonts w:hint="eastAsia" w:eastAsia="仿宋_GB2312" w:cs="Times New Roman"/>
          <w:sz w:val="32"/>
          <w:szCs w:val="32"/>
        </w:rPr>
        <w:t>。</w:t>
      </w:r>
    </w:p>
    <w:p>
      <w:pPr>
        <w:pStyle w:val="3"/>
        <w:spacing w:line="590" w:lineRule="exact"/>
        <w:ind w:firstLine="643"/>
      </w:pPr>
      <w:bookmarkStart w:id="84" w:name="_Toc21613500"/>
      <w:r>
        <w:t>2.4</w:t>
      </w:r>
      <w:r>
        <w:rPr>
          <w:rFonts w:hint="eastAsia"/>
        </w:rPr>
        <w:t>龙河及环城水系概况</w:t>
      </w:r>
      <w:bookmarkEnd w:id="84"/>
    </w:p>
    <w:p>
      <w:pPr>
        <w:spacing w:line="590" w:lineRule="exact"/>
        <w:ind w:firstLine="640"/>
        <w:rPr>
          <w:rFonts w:eastAsia="仿宋_GB2312" w:cs="Times New Roman"/>
          <w:sz w:val="32"/>
          <w:szCs w:val="32"/>
        </w:rPr>
      </w:pPr>
      <w:r>
        <w:rPr>
          <w:rFonts w:eastAsia="仿宋_GB2312" w:cs="Times New Roman"/>
          <w:sz w:val="32"/>
          <w:szCs w:val="32"/>
        </w:rPr>
        <w:t>廊坊市境内共有7条主要河流，由北至南分别为</w:t>
      </w:r>
      <w:r>
        <w:rPr>
          <w:rFonts w:cs="Times New Roman"/>
          <w:sz w:val="32"/>
          <w:szCs w:val="32"/>
        </w:rPr>
        <w:t>泃</w:t>
      </w:r>
      <w:r>
        <w:rPr>
          <w:rFonts w:eastAsia="仿宋_GB2312" w:cs="Times New Roman"/>
          <w:sz w:val="32"/>
          <w:szCs w:val="32"/>
        </w:rPr>
        <w:t>河、潮白河、北运河、龙河、永定河、大清河和子牙河，均属于海河流域，具体见图2</w:t>
      </w:r>
      <w:r>
        <w:rPr>
          <w:rFonts w:hint="eastAsia" w:eastAsia="仿宋_GB2312" w:cs="Times New Roman"/>
          <w:sz w:val="32"/>
          <w:szCs w:val="32"/>
        </w:rPr>
        <w:t>-</w:t>
      </w:r>
      <w:r>
        <w:rPr>
          <w:rFonts w:eastAsia="仿宋_GB2312" w:cs="Times New Roman"/>
          <w:sz w:val="32"/>
          <w:szCs w:val="32"/>
        </w:rPr>
        <w:t>4。本方案的研究区域为龙河以及城区环城水系所在的安次区和广阳区。</w:t>
      </w:r>
    </w:p>
    <w:p>
      <w:pPr>
        <w:spacing w:line="240" w:lineRule="auto"/>
        <w:ind w:firstLine="0" w:firstLineChars="0"/>
        <w:jc w:val="center"/>
        <w:rPr>
          <w:color w:val="FF0000"/>
        </w:rPr>
      </w:pPr>
      <w:r>
        <w:rPr>
          <w:color w:val="FF0000"/>
        </w:rPr>
        <w:drawing>
          <wp:inline distT="0" distB="0" distL="114300" distR="114300">
            <wp:extent cx="4669155" cy="6217285"/>
            <wp:effectExtent l="0" t="0" r="17145" b="12065"/>
            <wp:docPr id="7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2"/>
                    <pic:cNvPicPr>
                      <a:picLocks noChangeAspect="1"/>
                    </pic:cNvPicPr>
                  </pic:nvPicPr>
                  <pic:blipFill>
                    <a:blip r:embed="rId35"/>
                    <a:stretch>
                      <a:fillRect/>
                    </a:stretch>
                  </pic:blipFill>
                  <pic:spPr>
                    <a:xfrm>
                      <a:off x="0" y="0"/>
                      <a:ext cx="4669155" cy="6217285"/>
                    </a:xfrm>
                    <a:prstGeom prst="rect">
                      <a:avLst/>
                    </a:prstGeom>
                    <a:noFill/>
                    <a:ln w="9525">
                      <a:noFill/>
                    </a:ln>
                  </pic:spPr>
                </pic:pic>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4</w:t>
      </w:r>
      <w:r>
        <w:rPr>
          <w:rFonts w:hint="eastAsia" w:ascii="Times New Roman" w:hAnsi="Times New Roman"/>
          <w:b/>
        </w:rPr>
        <w:t>　廊坊市全市域水系示意图</w:t>
      </w:r>
    </w:p>
    <w:p>
      <w:pPr>
        <w:ind w:firstLine="640"/>
        <w:rPr>
          <w:rFonts w:eastAsia="仿宋_GB2312" w:cs="Times New Roman"/>
          <w:sz w:val="32"/>
          <w:szCs w:val="32"/>
        </w:rPr>
      </w:pPr>
      <w:r>
        <w:rPr>
          <w:rFonts w:eastAsia="仿宋_GB2312" w:cs="Times New Roman"/>
          <w:sz w:val="32"/>
          <w:szCs w:val="32"/>
        </w:rPr>
        <w:t>龙河是一条跨省、市的河流，属于永定河水系，发源于北京市大兴区，经过廊坊市后，经东张务穿护堤路入天津市武清区，全长68.42公里，廊坊市境内35.5公里（其中广阳区境内13.7公里、安次区境内21.8公里），流域面积577.94平方公里，其中北京境内256平方公里，廊坊市境内322平方公里。龙河为永定河支流，于广阳区三小营西入廊坊市境内，经杜各庄、天村、大伍龙、刘各庄、西辛庄、祖各庄、南昌、于常甫、永丰、高圈、石各庄、北田庄、岳庄子，至东张务穿护路堤，于武清区刘各庄北入永定河槽。龙河两岸为人工填筑堤坝，河床宽阔平缓。龙河是自然形成的河道，历史上河道摆动较大，造成河道蛇曲，下游地势平缓，尾闾不畅。龙河下游建有永丰闸、东张务闸，夏季挡蓄上游来水，秋冬季引蓄北京弃水。</w:t>
      </w:r>
    </w:p>
    <w:p>
      <w:pPr>
        <w:ind w:firstLine="640"/>
        <w:rPr>
          <w:rFonts w:eastAsia="仿宋_GB2312" w:cs="Times New Roman"/>
          <w:sz w:val="32"/>
          <w:szCs w:val="32"/>
        </w:rPr>
      </w:pPr>
      <w:r>
        <w:rPr>
          <w:rFonts w:eastAsia="仿宋_GB2312" w:cs="Times New Roman"/>
          <w:sz w:val="32"/>
          <w:szCs w:val="32"/>
        </w:rPr>
        <w:t>半截河上游与胜天渠相连，下游入龙河，开挖于1971年，总长4.13公里，深2.5米，底宽30米，边坡1/3，纵坡1/1652，设计流量23.25立方米/秒，属于一条排沥河道。</w:t>
      </w:r>
    </w:p>
    <w:p>
      <w:pPr>
        <w:ind w:firstLine="640"/>
        <w:rPr>
          <w:rFonts w:eastAsia="仿宋_GB2312" w:cs="Times New Roman"/>
          <w:sz w:val="32"/>
          <w:szCs w:val="32"/>
        </w:rPr>
      </w:pPr>
      <w:r>
        <w:rPr>
          <w:rFonts w:eastAsia="仿宋_GB2312" w:cs="Times New Roman"/>
          <w:sz w:val="32"/>
          <w:szCs w:val="32"/>
        </w:rPr>
        <w:t>五干渠是廊坊市区南部一条主要的排水渠道，上起京山铁路涵洞出口，于岳庄村北偏东汇入老龙河，全长10.5公里，控制排水面积26.75平方公里，其中城区排水面积18.9平方公里，农田排水面积7.85平方公里。设计渠深3.5米，底宽14米，纵坡1/4000，边坡1/2，水深2.46米。五干渠为廊坊市城区和农村的农田排水发挥了巨大作用。</w:t>
      </w:r>
    </w:p>
    <w:p>
      <w:pPr>
        <w:ind w:firstLine="640"/>
        <w:rPr>
          <w:rFonts w:eastAsia="仿宋_GB2312" w:cs="Times New Roman"/>
          <w:sz w:val="32"/>
          <w:szCs w:val="32"/>
        </w:rPr>
      </w:pPr>
      <w:r>
        <w:rPr>
          <w:rFonts w:eastAsia="仿宋_GB2312" w:cs="Times New Roman"/>
          <w:sz w:val="32"/>
          <w:szCs w:val="32"/>
        </w:rPr>
        <w:t>老龙河为龙河下游的分水河道，主要承接五干渠下泄来水以及从龙河下游分水进行灌溉等，始于岳庄子北，向东穿越京津铁路汇去天津排污河，全长19.5公里，其中廊坊市境内长8.8公里，流域面积51.5平方公里。</w:t>
      </w:r>
    </w:p>
    <w:p>
      <w:pPr>
        <w:spacing w:line="240" w:lineRule="auto"/>
        <w:ind w:firstLine="0" w:firstLineChars="0"/>
        <w:jc w:val="center"/>
        <w:rPr>
          <w:color w:val="FF0000"/>
        </w:rPr>
      </w:pPr>
      <w:r>
        <w:rPr>
          <w:color w:val="FF0000"/>
        </w:rPr>
        <w:drawing>
          <wp:inline distT="0" distB="0" distL="114300" distR="114300">
            <wp:extent cx="4512945" cy="3063240"/>
            <wp:effectExtent l="0" t="0" r="1905" b="3810"/>
            <wp:docPr id="8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3"/>
                    <pic:cNvPicPr>
                      <a:picLocks noChangeAspect="1"/>
                    </pic:cNvPicPr>
                  </pic:nvPicPr>
                  <pic:blipFill>
                    <a:blip r:embed="rId36"/>
                    <a:stretch>
                      <a:fillRect/>
                    </a:stretch>
                  </pic:blipFill>
                  <pic:spPr>
                    <a:xfrm>
                      <a:off x="0" y="0"/>
                      <a:ext cx="4512945" cy="3063240"/>
                    </a:xfrm>
                    <a:prstGeom prst="rect">
                      <a:avLst/>
                    </a:prstGeom>
                    <a:noFill/>
                    <a:ln w="9525">
                      <a:noFill/>
                    </a:ln>
                  </pic:spPr>
                </pic:pic>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 xml:space="preserve">5  </w:t>
      </w:r>
      <w:r>
        <w:rPr>
          <w:rFonts w:hint="eastAsia" w:ascii="Times New Roman" w:hAnsi="Times New Roman"/>
          <w:b/>
        </w:rPr>
        <w:t>廊坊市龙河水系及流向示意图</w:t>
      </w:r>
    </w:p>
    <w:p>
      <w:pPr>
        <w:spacing w:after="222" w:afterLines="50" w:line="590" w:lineRule="exact"/>
        <w:ind w:firstLine="640"/>
        <w:rPr>
          <w:rFonts w:eastAsia="仿宋_GB2312" w:cs="Times New Roman"/>
          <w:sz w:val="32"/>
          <w:szCs w:val="32"/>
        </w:rPr>
      </w:pPr>
      <w:r>
        <w:rPr>
          <w:rFonts w:hint="eastAsia" w:eastAsia="仿宋_GB2312" w:cs="Times New Roman"/>
          <w:sz w:val="32"/>
          <w:szCs w:val="32"/>
        </w:rPr>
        <w:t>本方案中将环城水系界定为城区北部的六干渠、城区西部的大皮营引渠和城区东部的八干渠，全长约</w:t>
      </w:r>
      <w:r>
        <w:rPr>
          <w:rFonts w:eastAsia="仿宋_GB2312" w:cs="Times New Roman"/>
          <w:sz w:val="32"/>
          <w:szCs w:val="32"/>
        </w:rPr>
        <w:t>48.3</w:t>
      </w:r>
      <w:r>
        <w:rPr>
          <w:rFonts w:hint="eastAsia" w:eastAsia="仿宋_GB2312" w:cs="Times New Roman"/>
          <w:sz w:val="32"/>
          <w:szCs w:val="32"/>
        </w:rPr>
        <w:t>公里。</w:t>
      </w:r>
    </w:p>
    <w:p>
      <w:pPr>
        <w:spacing w:line="240" w:lineRule="auto"/>
        <w:ind w:firstLine="0" w:firstLineChars="0"/>
        <w:jc w:val="center"/>
        <w:rPr>
          <w:color w:val="FF0000"/>
        </w:rPr>
      </w:pPr>
      <w:r>
        <w:rPr>
          <w:color w:val="FF0000"/>
        </w:rPr>
        <w:drawing>
          <wp:inline distT="0" distB="0" distL="114300" distR="114300">
            <wp:extent cx="4135755" cy="3217545"/>
            <wp:effectExtent l="0" t="0" r="17145" b="1905"/>
            <wp:docPr id="8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54"/>
                    <pic:cNvPicPr>
                      <a:picLocks noChangeAspect="1"/>
                    </pic:cNvPicPr>
                  </pic:nvPicPr>
                  <pic:blipFill>
                    <a:blip r:embed="rId37"/>
                    <a:stretch>
                      <a:fillRect/>
                    </a:stretch>
                  </pic:blipFill>
                  <pic:spPr>
                    <a:xfrm>
                      <a:off x="0" y="0"/>
                      <a:ext cx="4135755" cy="3217545"/>
                    </a:xfrm>
                    <a:prstGeom prst="rect">
                      <a:avLst/>
                    </a:prstGeom>
                    <a:noFill/>
                    <a:ln w="9525">
                      <a:noFill/>
                    </a:ln>
                  </pic:spPr>
                </pic:pic>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2</w:t>
      </w:r>
      <w:r>
        <w:rPr>
          <w:rFonts w:hint="eastAsia" w:ascii="Times New Roman" w:hAnsi="Times New Roman"/>
          <w:b/>
        </w:rPr>
        <w:t>-</w:t>
      </w:r>
      <w:r>
        <w:rPr>
          <w:rFonts w:ascii="Times New Roman" w:hAnsi="Times New Roman"/>
          <w:b/>
        </w:rPr>
        <w:t xml:space="preserve">6  </w:t>
      </w:r>
      <w:r>
        <w:rPr>
          <w:rFonts w:hint="eastAsia" w:ascii="Times New Roman" w:hAnsi="Times New Roman"/>
          <w:b/>
        </w:rPr>
        <w:t>廊坊市环城水系位置及流向示意图</w:t>
      </w:r>
    </w:p>
    <w:p>
      <w:pPr>
        <w:spacing w:line="590" w:lineRule="exact"/>
        <w:ind w:firstLine="640"/>
        <w:rPr>
          <w:rFonts w:eastAsia="仿宋_GB2312" w:cs="Times New Roman"/>
          <w:sz w:val="32"/>
          <w:szCs w:val="32"/>
        </w:rPr>
      </w:pPr>
      <w:r>
        <w:rPr>
          <w:rFonts w:eastAsia="仿宋_GB2312" w:cs="Times New Roman"/>
          <w:sz w:val="32"/>
          <w:szCs w:val="32"/>
        </w:rPr>
        <w:t>六干渠是位于廊坊城区以北的一条东西向水渠，全长约4.8公里，西接大皮营引渠，东至北尖塔村与八干渠相接。</w:t>
      </w:r>
    </w:p>
    <w:p>
      <w:pPr>
        <w:spacing w:line="590" w:lineRule="exact"/>
        <w:ind w:firstLine="640"/>
        <w:rPr>
          <w:rFonts w:eastAsia="仿宋_GB2312" w:cs="Times New Roman"/>
          <w:sz w:val="32"/>
          <w:szCs w:val="32"/>
        </w:rPr>
      </w:pPr>
      <w:r>
        <w:rPr>
          <w:rFonts w:eastAsia="仿宋_GB2312" w:cs="Times New Roman"/>
          <w:sz w:val="32"/>
          <w:szCs w:val="32"/>
        </w:rPr>
        <w:t>大皮营引渠是位于廊坊城区以西一条南北向水渠，北起凤河，往南约4公里在与六干渠交汇之前筑有临时土坝阻拦，长度6.8公里。</w:t>
      </w:r>
    </w:p>
    <w:p>
      <w:pPr>
        <w:spacing w:line="590" w:lineRule="exact"/>
        <w:ind w:firstLine="640"/>
        <w:rPr>
          <w:rFonts w:eastAsia="仿宋_GB2312" w:cs="Times New Roman"/>
          <w:sz w:val="32"/>
          <w:szCs w:val="32"/>
        </w:rPr>
      </w:pPr>
      <w:r>
        <w:rPr>
          <w:rFonts w:eastAsia="仿宋_GB2312" w:cs="Times New Roman"/>
          <w:sz w:val="32"/>
          <w:szCs w:val="32"/>
        </w:rPr>
        <w:t>八干渠是位于廊坊城区以东的一条西北</w:t>
      </w:r>
      <w:r>
        <w:rPr>
          <w:rFonts w:hint="eastAsia"/>
          <w:sz w:val="32"/>
          <w:szCs w:val="32"/>
        </w:rPr>
        <w:t>-</w:t>
      </w:r>
      <w:r>
        <w:rPr>
          <w:rFonts w:eastAsia="仿宋_GB2312" w:cs="Times New Roman"/>
          <w:sz w:val="32"/>
          <w:szCs w:val="32"/>
        </w:rPr>
        <w:t>东南走向的水渠，长度9.4公里。</w:t>
      </w:r>
    </w:p>
    <w:p>
      <w:pPr>
        <w:spacing w:line="590" w:lineRule="exact"/>
        <w:ind w:firstLine="640"/>
        <w:rPr>
          <w:rFonts w:eastAsia="仿宋_GB2312" w:cs="Times New Roman"/>
          <w:sz w:val="32"/>
          <w:szCs w:val="32"/>
        </w:rPr>
      </w:pPr>
      <w:r>
        <w:rPr>
          <w:rFonts w:eastAsia="仿宋_GB2312" w:cs="Times New Roman"/>
          <w:sz w:val="32"/>
          <w:szCs w:val="32"/>
        </w:rPr>
        <w:t>目前环城水系河道主要来水为城市污水处理厂尾水和生态补水。</w:t>
      </w:r>
    </w:p>
    <w:p>
      <w:pPr>
        <w:pStyle w:val="2"/>
        <w:spacing w:line="590" w:lineRule="exact"/>
        <w:ind w:firstLine="640"/>
      </w:pPr>
      <w:bookmarkStart w:id="85" w:name="_Toc21613501"/>
      <w:r>
        <w:rPr>
          <w:rFonts w:hint="eastAsia"/>
        </w:rPr>
        <w:t>三、水环境形势状况分析</w:t>
      </w:r>
      <w:bookmarkEnd w:id="85"/>
    </w:p>
    <w:p>
      <w:pPr>
        <w:pStyle w:val="3"/>
        <w:spacing w:line="590" w:lineRule="exact"/>
        <w:ind w:firstLine="643"/>
        <w:rPr>
          <w:rFonts w:eastAsia="楷体_GB2312"/>
        </w:rPr>
      </w:pPr>
      <w:bookmarkStart w:id="86" w:name="_Toc21613502"/>
      <w:r>
        <w:rPr>
          <w:rFonts w:eastAsia="楷体_GB2312"/>
        </w:rPr>
        <w:t>3.1</w:t>
      </w:r>
      <w:r>
        <w:rPr>
          <w:rFonts w:hint="eastAsia" w:eastAsia="楷体_GB2312"/>
        </w:rPr>
        <w:t>水质考核要求</w:t>
      </w:r>
      <w:bookmarkEnd w:id="86"/>
    </w:p>
    <w:p>
      <w:pPr>
        <w:spacing w:line="590" w:lineRule="exact"/>
        <w:ind w:firstLine="640"/>
        <w:rPr>
          <w:rFonts w:eastAsia="仿宋_GB2312" w:cs="Times New Roman"/>
          <w:sz w:val="32"/>
          <w:szCs w:val="32"/>
        </w:rPr>
      </w:pPr>
      <w:r>
        <w:rPr>
          <w:rFonts w:hint="eastAsia" w:eastAsia="仿宋_GB2312" w:cs="Times New Roman"/>
          <w:sz w:val="32"/>
          <w:szCs w:val="32"/>
        </w:rPr>
        <w:t>龙河大王务断面是</w:t>
      </w:r>
      <w:r>
        <w:rPr>
          <w:rFonts w:eastAsia="仿宋_GB2312" w:cs="Times New Roman"/>
          <w:sz w:val="32"/>
          <w:szCs w:val="32"/>
        </w:rPr>
        <w:t>“</w:t>
      </w:r>
      <w:r>
        <w:rPr>
          <w:rFonts w:hint="eastAsia" w:eastAsia="仿宋_GB2312" w:cs="Times New Roman"/>
          <w:sz w:val="32"/>
          <w:szCs w:val="32"/>
        </w:rPr>
        <w:t>十三五</w:t>
      </w:r>
      <w:r>
        <w:rPr>
          <w:rFonts w:eastAsia="仿宋_GB2312" w:cs="Times New Roman"/>
          <w:sz w:val="32"/>
          <w:szCs w:val="32"/>
        </w:rPr>
        <w:t>”</w:t>
      </w:r>
      <w:r>
        <w:rPr>
          <w:rFonts w:hint="eastAsia" w:eastAsia="仿宋_GB2312" w:cs="Times New Roman"/>
          <w:sz w:val="32"/>
          <w:szCs w:val="32"/>
        </w:rPr>
        <w:t>国家考核断面，考核目标为自</w:t>
      </w:r>
      <w:r>
        <w:rPr>
          <w:rFonts w:eastAsia="仿宋_GB2312" w:cs="Times New Roman"/>
          <w:sz w:val="32"/>
          <w:szCs w:val="32"/>
        </w:rPr>
        <w:t>2018</w:t>
      </w:r>
      <w:r>
        <w:rPr>
          <w:rFonts w:hint="eastAsia" w:eastAsia="仿宋_GB2312" w:cs="Times New Roman"/>
          <w:sz w:val="32"/>
          <w:szCs w:val="32"/>
        </w:rPr>
        <w:t>年起水质达到地表水Ｖ类水质标准。</w:t>
      </w:r>
    </w:p>
    <w:p>
      <w:pPr>
        <w:spacing w:line="590" w:lineRule="exact"/>
        <w:ind w:firstLine="640"/>
        <w:rPr>
          <w:rFonts w:eastAsia="仿宋_GB2312" w:cs="Times New Roman"/>
          <w:sz w:val="32"/>
          <w:szCs w:val="32"/>
        </w:rPr>
      </w:pPr>
      <w:r>
        <w:rPr>
          <w:rFonts w:hint="eastAsia" w:eastAsia="仿宋_GB2312" w:cs="Times New Roman"/>
          <w:sz w:val="32"/>
          <w:szCs w:val="32"/>
        </w:rPr>
        <w:t>国控断面水质评价数据采用国家监测数据，其他断面水质评价数据采用廊坊市监测数据。水质评价采用单因子标准指数法进行评价，评价指标与方法参考《地表水环境质量评价办法》（环办〔</w:t>
      </w:r>
      <w:r>
        <w:rPr>
          <w:rFonts w:eastAsia="仿宋_GB2312" w:cs="Times New Roman"/>
          <w:sz w:val="32"/>
          <w:szCs w:val="32"/>
        </w:rPr>
        <w:t>2011</w:t>
      </w:r>
      <w:r>
        <w:rPr>
          <w:rFonts w:hint="eastAsia" w:eastAsia="仿宋_GB2312" w:cs="Times New Roman"/>
          <w:sz w:val="32"/>
          <w:szCs w:val="32"/>
        </w:rPr>
        <w:t>〕</w:t>
      </w:r>
      <w:r>
        <w:rPr>
          <w:rFonts w:eastAsia="仿宋_GB2312" w:cs="Times New Roman"/>
          <w:sz w:val="32"/>
          <w:szCs w:val="32"/>
        </w:rPr>
        <w:t>22</w:t>
      </w:r>
      <w:r>
        <w:rPr>
          <w:rFonts w:hint="eastAsia" w:eastAsia="仿宋_GB2312" w:cs="Times New Roman"/>
          <w:sz w:val="32"/>
          <w:szCs w:val="32"/>
        </w:rPr>
        <w:t>号）、《地表水环境质量标准》（</w:t>
      </w:r>
      <w:r>
        <w:rPr>
          <w:rFonts w:eastAsia="仿宋_GB2312" w:cs="Times New Roman"/>
          <w:sz w:val="32"/>
          <w:szCs w:val="32"/>
        </w:rPr>
        <w:t>GB3838</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）的有关内容。</w:t>
      </w:r>
    </w:p>
    <w:p>
      <w:pPr>
        <w:pStyle w:val="3"/>
        <w:spacing w:line="590" w:lineRule="exact"/>
        <w:ind w:firstLine="643"/>
        <w:rPr>
          <w:rFonts w:eastAsia="楷体_GB2312"/>
        </w:rPr>
      </w:pPr>
      <w:bookmarkStart w:id="87" w:name="_Toc21613503"/>
      <w:r>
        <w:rPr>
          <w:rFonts w:eastAsia="楷体_GB2312"/>
        </w:rPr>
        <w:t>3.2</w:t>
      </w:r>
      <w:r>
        <w:rPr>
          <w:rFonts w:hint="eastAsia" w:eastAsia="楷体_GB2312"/>
        </w:rPr>
        <w:t>水环境质量状况与差距分析</w:t>
      </w:r>
      <w:bookmarkEnd w:id="87"/>
    </w:p>
    <w:p>
      <w:pPr>
        <w:spacing w:line="590" w:lineRule="exact"/>
        <w:ind w:firstLine="640"/>
        <w:rPr>
          <w:rFonts w:eastAsia="仿宋_GB2312" w:cs="Times New Roman"/>
          <w:sz w:val="32"/>
          <w:szCs w:val="32"/>
        </w:rPr>
      </w:pPr>
      <w:r>
        <w:rPr>
          <w:rFonts w:hint="eastAsia" w:eastAsia="仿宋_GB2312" w:cs="Times New Roman"/>
          <w:sz w:val="32"/>
          <w:szCs w:val="32"/>
        </w:rPr>
        <w:t>从考核断面</w:t>
      </w:r>
      <w:r>
        <w:rPr>
          <w:rFonts w:eastAsia="仿宋_GB2312" w:cs="Times New Roman"/>
          <w:sz w:val="32"/>
          <w:szCs w:val="32"/>
        </w:rPr>
        <w:t>2018</w:t>
      </w:r>
      <w:r>
        <w:rPr>
          <w:rFonts w:hint="eastAsia" w:eastAsia="仿宋_GB2312" w:cs="Times New Roman"/>
          <w:sz w:val="32"/>
          <w:szCs w:val="32"/>
        </w:rPr>
        <w:t>年水质年均值来看，龙河大王务断面水质类别为Ⅳ类，优于</w:t>
      </w:r>
      <w:r>
        <w:rPr>
          <w:rFonts w:eastAsia="仿宋_GB2312" w:cs="Times New Roman"/>
          <w:sz w:val="32"/>
          <w:szCs w:val="32"/>
        </w:rPr>
        <w:t>2020</w:t>
      </w:r>
      <w:r>
        <w:rPr>
          <w:rFonts w:hint="eastAsia" w:eastAsia="仿宋_GB2312" w:cs="Times New Roman"/>
          <w:sz w:val="32"/>
          <w:szCs w:val="32"/>
        </w:rPr>
        <w:t>年水质考核目标。</w:t>
      </w:r>
    </w:p>
    <w:p>
      <w:pPr>
        <w:spacing w:line="590" w:lineRule="exact"/>
        <w:ind w:firstLine="640"/>
        <w:rPr>
          <w:rFonts w:eastAsia="仿宋_GB2312" w:cs="Times New Roman"/>
          <w:sz w:val="32"/>
          <w:szCs w:val="32"/>
        </w:rPr>
      </w:pPr>
      <w:r>
        <w:rPr>
          <w:rFonts w:hint="eastAsia" w:eastAsia="仿宋_GB2312" w:cs="Times New Roman"/>
          <w:sz w:val="32"/>
          <w:szCs w:val="32"/>
        </w:rPr>
        <w:t>从考核断面</w:t>
      </w:r>
      <w:r>
        <w:rPr>
          <w:rFonts w:eastAsia="仿宋_GB2312" w:cs="Times New Roman"/>
          <w:sz w:val="32"/>
          <w:szCs w:val="32"/>
        </w:rPr>
        <w:t>2018</w:t>
      </w:r>
      <w:r>
        <w:rPr>
          <w:rFonts w:hint="eastAsia" w:eastAsia="仿宋_GB2312" w:cs="Times New Roman"/>
          <w:sz w:val="32"/>
          <w:szCs w:val="32"/>
        </w:rPr>
        <w:t>年各月值来看，</w:t>
      </w:r>
      <w:r>
        <w:rPr>
          <w:rFonts w:eastAsia="仿宋_GB2312" w:cs="Times New Roman"/>
          <w:sz w:val="32"/>
          <w:szCs w:val="32"/>
        </w:rPr>
        <w:t>2018</w:t>
      </w:r>
      <w:r>
        <w:rPr>
          <w:rFonts w:hint="eastAsia" w:eastAsia="仿宋_GB2312" w:cs="Times New Roman"/>
          <w:sz w:val="32"/>
          <w:szCs w:val="32"/>
        </w:rPr>
        <w:t>年龙河大王务断面只开展了</w:t>
      </w:r>
      <w:r>
        <w:rPr>
          <w:rFonts w:eastAsia="仿宋_GB2312" w:cs="Times New Roman"/>
          <w:sz w:val="32"/>
          <w:szCs w:val="32"/>
        </w:rPr>
        <w:t>8</w:t>
      </w:r>
      <w:r>
        <w:rPr>
          <w:rFonts w:hint="eastAsia" w:eastAsia="仿宋_GB2312" w:cs="Times New Roman"/>
          <w:sz w:val="32"/>
          <w:szCs w:val="32"/>
        </w:rPr>
        <w:t>—</w:t>
      </w:r>
      <w:r>
        <w:rPr>
          <w:rFonts w:eastAsia="仿宋_GB2312" w:cs="Times New Roman"/>
          <w:sz w:val="32"/>
          <w:szCs w:val="32"/>
        </w:rPr>
        <w:t>12</w:t>
      </w:r>
      <w:r>
        <w:rPr>
          <w:rFonts w:hint="eastAsia" w:eastAsia="仿宋_GB2312" w:cs="Times New Roman"/>
          <w:sz w:val="32"/>
          <w:szCs w:val="32"/>
        </w:rPr>
        <w:t>月的水质监测，其中</w:t>
      </w:r>
      <w:r>
        <w:rPr>
          <w:rFonts w:eastAsia="仿宋_GB2312" w:cs="Times New Roman"/>
          <w:sz w:val="32"/>
          <w:szCs w:val="32"/>
        </w:rPr>
        <w:t>8</w:t>
      </w:r>
      <w:r>
        <w:rPr>
          <w:rFonts w:hint="eastAsia" w:eastAsia="仿宋_GB2312" w:cs="Times New Roman"/>
          <w:sz w:val="32"/>
          <w:szCs w:val="32"/>
        </w:rPr>
        <w:t>月的水质类别为劣</w:t>
      </w:r>
      <w:r>
        <w:rPr>
          <w:rFonts w:eastAsia="仿宋_GB2312" w:cs="Times New Roman"/>
          <w:sz w:val="32"/>
          <w:szCs w:val="32"/>
        </w:rPr>
        <w:t>V</w:t>
      </w:r>
      <w:r>
        <w:rPr>
          <w:rFonts w:hint="eastAsia" w:eastAsia="仿宋_GB2312" w:cs="Times New Roman"/>
          <w:sz w:val="32"/>
          <w:szCs w:val="32"/>
        </w:rPr>
        <w:t>类，超标指标为化学需氧量，超标倍数为</w:t>
      </w:r>
      <w:r>
        <w:rPr>
          <w:rFonts w:eastAsia="仿宋_GB2312" w:cs="Times New Roman"/>
          <w:sz w:val="32"/>
          <w:szCs w:val="32"/>
        </w:rPr>
        <w:t>0.2</w:t>
      </w:r>
      <w:r>
        <w:rPr>
          <w:rFonts w:hint="eastAsia" w:eastAsia="仿宋_GB2312" w:cs="Times New Roman"/>
          <w:sz w:val="32"/>
          <w:szCs w:val="32"/>
        </w:rPr>
        <w:t>倍，其余各月水质均达到或优于水质考核目标。从</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1</w:t>
      </w: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月水质来看，其中</w:t>
      </w:r>
      <w:r>
        <w:rPr>
          <w:rFonts w:eastAsia="仿宋_GB2312" w:cs="Times New Roman"/>
          <w:sz w:val="32"/>
          <w:szCs w:val="32"/>
        </w:rPr>
        <w:t>3</w:t>
      </w: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月水质为劣</w:t>
      </w:r>
      <w:r>
        <w:rPr>
          <w:rFonts w:eastAsia="仿宋_GB2312" w:cs="Times New Roman"/>
          <w:sz w:val="32"/>
          <w:szCs w:val="32"/>
        </w:rPr>
        <w:t>V</w:t>
      </w:r>
      <w:r>
        <w:rPr>
          <w:rFonts w:hint="eastAsia" w:eastAsia="仿宋_GB2312" w:cs="Times New Roman"/>
          <w:sz w:val="32"/>
          <w:szCs w:val="32"/>
        </w:rPr>
        <w:t>类，主要超标指标为化学需氧量，最大超标倍数为</w:t>
      </w:r>
      <w:r>
        <w:rPr>
          <w:rFonts w:eastAsia="仿宋_GB2312" w:cs="Times New Roman"/>
          <w:sz w:val="32"/>
          <w:szCs w:val="32"/>
        </w:rPr>
        <w:t>1</w:t>
      </w:r>
      <w:r>
        <w:rPr>
          <w:rFonts w:hint="eastAsia" w:eastAsia="仿宋_GB2312" w:cs="Times New Roman"/>
          <w:sz w:val="32"/>
          <w:szCs w:val="32"/>
        </w:rPr>
        <w:t>倍，其余月份均达到或优于水质考核目标。</w:t>
      </w:r>
    </w:p>
    <w:p>
      <w:pPr>
        <w:spacing w:line="240" w:lineRule="auto"/>
        <w:ind w:firstLine="0" w:firstLineChars="0"/>
        <w:jc w:val="center"/>
      </w:pPr>
      <w:r>
        <w:drawing>
          <wp:inline distT="0" distB="0" distL="114300" distR="114300">
            <wp:extent cx="5476875" cy="2074545"/>
            <wp:effectExtent l="0" t="0" r="9525" b="1905"/>
            <wp:docPr id="8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5"/>
                    <pic:cNvPicPr>
                      <a:picLocks noChangeAspect="1"/>
                    </pic:cNvPicPr>
                  </pic:nvPicPr>
                  <pic:blipFill>
                    <a:blip r:embed="rId38"/>
                    <a:stretch>
                      <a:fillRect/>
                    </a:stretch>
                  </pic:blipFill>
                  <pic:spPr>
                    <a:xfrm>
                      <a:off x="0" y="0"/>
                      <a:ext cx="5476875" cy="2074545"/>
                    </a:xfrm>
                    <a:prstGeom prst="rect">
                      <a:avLst/>
                    </a:prstGeom>
                    <a:noFill/>
                    <a:ln w="9525">
                      <a:noFill/>
                    </a:ln>
                  </pic:spPr>
                </pic:pic>
              </a:graphicData>
            </a:graphic>
          </wp:inline>
        </w:drawing>
      </w:r>
    </w:p>
    <w:p>
      <w:pPr>
        <w:spacing w:after="133" w:afterLines="30" w:line="240" w:lineRule="auto"/>
        <w:ind w:firstLine="0" w:firstLineChars="0"/>
        <w:jc w:val="center"/>
        <w:rPr>
          <w:b/>
          <w:szCs w:val="24"/>
        </w:rPr>
      </w:pPr>
      <w:r>
        <w:rPr>
          <w:rFonts w:hint="eastAsia"/>
          <w:b/>
          <w:szCs w:val="24"/>
        </w:rPr>
        <w:t>图</w:t>
      </w:r>
      <w:r>
        <w:rPr>
          <w:b/>
          <w:szCs w:val="24"/>
        </w:rPr>
        <w:t>3</w:t>
      </w:r>
      <w:r>
        <w:rPr>
          <w:rFonts w:hint="eastAsia"/>
          <w:szCs w:val="24"/>
        </w:rPr>
        <w:t>-</w:t>
      </w:r>
      <w:r>
        <w:rPr>
          <w:b/>
          <w:szCs w:val="24"/>
        </w:rPr>
        <w:t xml:space="preserve">1 </w:t>
      </w:r>
      <w:r>
        <w:rPr>
          <w:rFonts w:hint="eastAsia"/>
          <w:b/>
          <w:szCs w:val="24"/>
        </w:rPr>
        <w:t xml:space="preserve"> 龙河大王务断面</w:t>
      </w:r>
      <w:r>
        <w:rPr>
          <w:b/>
          <w:szCs w:val="24"/>
        </w:rPr>
        <w:t>2018</w:t>
      </w:r>
      <w:r>
        <w:rPr>
          <w:rFonts w:hint="eastAsia" w:eastAsia="仿宋_GB2312" w:cs="Times New Roman"/>
          <w:sz w:val="32"/>
          <w:szCs w:val="32"/>
        </w:rPr>
        <w:t>—</w:t>
      </w:r>
      <w:r>
        <w:rPr>
          <w:b/>
          <w:szCs w:val="24"/>
        </w:rPr>
        <w:t>2019</w:t>
      </w:r>
      <w:r>
        <w:rPr>
          <w:rFonts w:hint="eastAsia"/>
          <w:b/>
          <w:szCs w:val="24"/>
        </w:rPr>
        <w:t>年各月水质状况</w:t>
      </w:r>
    </w:p>
    <w:p>
      <w:pPr>
        <w:pStyle w:val="3"/>
        <w:spacing w:line="590" w:lineRule="exact"/>
        <w:ind w:firstLine="643"/>
        <w:rPr>
          <w:rFonts w:eastAsia="楷体_GB2312"/>
        </w:rPr>
      </w:pPr>
      <w:bookmarkStart w:id="88" w:name="_Toc21613504"/>
      <w:r>
        <w:rPr>
          <w:rFonts w:eastAsia="楷体_GB2312"/>
        </w:rPr>
        <w:t>3.3</w:t>
      </w:r>
      <w:r>
        <w:rPr>
          <w:rFonts w:hint="eastAsia" w:eastAsia="楷体_GB2312"/>
        </w:rPr>
        <w:t>水环境质量形势变化</w:t>
      </w:r>
      <w:bookmarkEnd w:id="88"/>
    </w:p>
    <w:p>
      <w:pPr>
        <w:pStyle w:val="4"/>
        <w:spacing w:line="590" w:lineRule="exact"/>
        <w:ind w:firstLine="643"/>
      </w:pPr>
      <w:bookmarkStart w:id="89" w:name="_Toc21613505"/>
      <w:r>
        <w:t>3.3.1</w:t>
      </w:r>
      <w:r>
        <w:rPr>
          <w:rFonts w:hint="eastAsia"/>
        </w:rPr>
        <w:t>水环境实地踏勘</w:t>
      </w:r>
      <w:bookmarkEnd w:id="89"/>
    </w:p>
    <w:p>
      <w:pPr>
        <w:spacing w:line="590" w:lineRule="exact"/>
        <w:ind w:firstLine="640"/>
        <w:rPr>
          <w:rFonts w:eastAsia="仿宋_GB2312" w:cs="Times New Roman"/>
          <w:sz w:val="32"/>
          <w:szCs w:val="32"/>
        </w:rPr>
      </w:pPr>
      <w:r>
        <w:rPr>
          <w:rFonts w:eastAsia="仿宋_GB2312" w:cs="Times New Roman"/>
          <w:sz w:val="32"/>
          <w:szCs w:val="32"/>
        </w:rPr>
        <w:t>（1）龙河及其支流踏勘</w:t>
      </w:r>
    </w:p>
    <w:p>
      <w:pPr>
        <w:spacing w:line="590" w:lineRule="exact"/>
        <w:ind w:firstLine="640"/>
      </w:pPr>
      <w:r>
        <w:rPr>
          <w:rFonts w:eastAsia="仿宋_GB2312" w:cs="Times New Roman"/>
          <w:sz w:val="32"/>
          <w:szCs w:val="32"/>
        </w:rPr>
        <w:t>2019年5月，龙河及环城水系实地踏勘发现，龙河干流、六干渠、八干渠、大皮营引渠已完成清淤，五干渠部分河段已完成清淤。龙河整体水质较好，部分支流沿岸存在垃圾堆放问题，龙河中下游由于受清淤工程影响，下游河段水体变混浊，水面存在垃圾漂浮物等。大皮营引渠与龙河之间有闸坝拦截，水无法流入龙河，引渠水质呈轻微白色，无流动；新龙河下游东张务村以下河段，经过清淤和人工湿地处理后，水质改善较好，水体较清。</w:t>
      </w:r>
    </w:p>
    <w:tbl>
      <w:tblPr>
        <w:tblStyle w:val="11"/>
        <w:tblW w:w="8306" w:type="dxa"/>
        <w:jc w:val="center"/>
        <w:tblInd w:w="0" w:type="dxa"/>
        <w:tblLayout w:type="fixed"/>
        <w:tblCellMar>
          <w:top w:w="0" w:type="dxa"/>
          <w:left w:w="108" w:type="dxa"/>
          <w:bottom w:w="0" w:type="dxa"/>
          <w:right w:w="108" w:type="dxa"/>
        </w:tblCellMar>
      </w:tblPr>
      <w:tblGrid>
        <w:gridCol w:w="3999"/>
        <w:gridCol w:w="4307"/>
      </w:tblGrid>
      <w:tr>
        <w:tblPrEx>
          <w:tblLayout w:type="fixed"/>
          <w:tblCellMar>
            <w:top w:w="0" w:type="dxa"/>
            <w:left w:w="108" w:type="dxa"/>
            <w:bottom w:w="0" w:type="dxa"/>
            <w:right w:w="108" w:type="dxa"/>
          </w:tblCellMar>
        </w:tblPrEx>
        <w:trPr>
          <w:jc w:val="center"/>
        </w:trPr>
        <w:tc>
          <w:tcPr>
            <w:tcW w:w="3999" w:type="dxa"/>
            <w:vAlign w:val="center"/>
          </w:tcPr>
          <w:p>
            <w:pPr>
              <w:spacing w:line="240" w:lineRule="auto"/>
              <w:ind w:firstLine="0" w:firstLineChars="0"/>
              <w:jc w:val="center"/>
              <w:rPr>
                <w:szCs w:val="24"/>
              </w:rPr>
            </w:pPr>
            <w:r>
              <w:rPr>
                <w:szCs w:val="24"/>
              </w:rPr>
              <w:drawing>
                <wp:inline distT="0" distB="0" distL="114300" distR="114300">
                  <wp:extent cx="2468880" cy="2321560"/>
                  <wp:effectExtent l="0" t="0" r="7620" b="2540"/>
                  <wp:docPr id="83" name="图片 56" descr="IMG_20190514_10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6" descr="IMG_20190514_101635"/>
                          <pic:cNvPicPr>
                            <a:picLocks noChangeAspect="1"/>
                          </pic:cNvPicPr>
                        </pic:nvPicPr>
                        <pic:blipFill>
                          <a:blip r:embed="rId39"/>
                          <a:stretch>
                            <a:fillRect/>
                          </a:stretch>
                        </pic:blipFill>
                        <pic:spPr>
                          <a:xfrm>
                            <a:off x="0" y="0"/>
                            <a:ext cx="2468880" cy="2321560"/>
                          </a:xfrm>
                          <a:prstGeom prst="rect">
                            <a:avLst/>
                          </a:prstGeom>
                          <a:noFill/>
                          <a:ln w="9525">
                            <a:noFill/>
                          </a:ln>
                        </pic:spPr>
                      </pic:pic>
                    </a:graphicData>
                  </a:graphic>
                </wp:inline>
              </w:drawing>
            </w:r>
            <w:r>
              <w:rPr>
                <w:szCs w:val="24"/>
              </w:rPr>
              <w:t>a.</w:t>
            </w:r>
            <w:r>
              <w:rPr>
                <w:rFonts w:hint="eastAsia"/>
                <w:szCs w:val="24"/>
              </w:rPr>
              <w:t>龙河上游国控自动站处</w:t>
            </w:r>
          </w:p>
        </w:tc>
        <w:tc>
          <w:tcPr>
            <w:tcW w:w="4307" w:type="dxa"/>
            <w:vAlign w:val="center"/>
          </w:tcPr>
          <w:p>
            <w:pPr>
              <w:spacing w:line="240" w:lineRule="auto"/>
              <w:ind w:firstLine="0" w:firstLineChars="0"/>
              <w:jc w:val="center"/>
              <w:rPr>
                <w:szCs w:val="24"/>
              </w:rPr>
            </w:pPr>
            <w:r>
              <w:rPr>
                <w:szCs w:val="24"/>
              </w:rPr>
              <w:drawing>
                <wp:inline distT="0" distB="0" distL="114300" distR="114300">
                  <wp:extent cx="2526665" cy="2306320"/>
                  <wp:effectExtent l="0" t="0" r="6985" b="17780"/>
                  <wp:docPr id="84" name="图片 57" descr="IMG_20190514_11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7" descr="IMG_20190514_114019"/>
                          <pic:cNvPicPr>
                            <a:picLocks noChangeAspect="1"/>
                          </pic:cNvPicPr>
                        </pic:nvPicPr>
                        <pic:blipFill>
                          <a:blip r:embed="rId40"/>
                          <a:stretch>
                            <a:fillRect/>
                          </a:stretch>
                        </pic:blipFill>
                        <pic:spPr>
                          <a:xfrm>
                            <a:off x="0" y="0"/>
                            <a:ext cx="2526665" cy="2306320"/>
                          </a:xfrm>
                          <a:prstGeom prst="rect">
                            <a:avLst/>
                          </a:prstGeom>
                          <a:noFill/>
                          <a:ln w="9525">
                            <a:noFill/>
                          </a:ln>
                        </pic:spPr>
                      </pic:pic>
                    </a:graphicData>
                  </a:graphic>
                </wp:inline>
              </w:drawing>
            </w:r>
            <w:r>
              <w:rPr>
                <w:szCs w:val="24"/>
              </w:rPr>
              <w:t>b.</w:t>
            </w:r>
            <w:r>
              <w:rPr>
                <w:rFonts w:hint="eastAsia"/>
                <w:szCs w:val="24"/>
              </w:rPr>
              <w:t>南水北调补水口</w:t>
            </w:r>
          </w:p>
        </w:tc>
      </w:tr>
      <w:tr>
        <w:tblPrEx>
          <w:tblLayout w:type="fixed"/>
          <w:tblCellMar>
            <w:top w:w="0" w:type="dxa"/>
            <w:left w:w="108" w:type="dxa"/>
            <w:bottom w:w="0" w:type="dxa"/>
            <w:right w:w="108" w:type="dxa"/>
          </w:tblCellMar>
        </w:tblPrEx>
        <w:trPr>
          <w:jc w:val="center"/>
        </w:trPr>
        <w:tc>
          <w:tcPr>
            <w:tcW w:w="3999" w:type="dxa"/>
            <w:vAlign w:val="center"/>
          </w:tcPr>
          <w:p>
            <w:pPr>
              <w:spacing w:line="240" w:lineRule="auto"/>
              <w:ind w:firstLine="0" w:firstLineChars="0"/>
              <w:jc w:val="center"/>
              <w:rPr>
                <w:szCs w:val="24"/>
              </w:rPr>
            </w:pPr>
            <w:r>
              <w:rPr>
                <w:szCs w:val="24"/>
              </w:rPr>
              <w:drawing>
                <wp:inline distT="0" distB="0" distL="114300" distR="114300">
                  <wp:extent cx="2374265" cy="2339975"/>
                  <wp:effectExtent l="0" t="0" r="6985" b="3175"/>
                  <wp:docPr id="85" name="图片 58" descr="IMG_20190514_11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8" descr="IMG_20190514_114547"/>
                          <pic:cNvPicPr>
                            <a:picLocks noChangeAspect="1"/>
                          </pic:cNvPicPr>
                        </pic:nvPicPr>
                        <pic:blipFill>
                          <a:blip r:embed="rId41"/>
                          <a:stretch>
                            <a:fillRect/>
                          </a:stretch>
                        </pic:blipFill>
                        <pic:spPr>
                          <a:xfrm>
                            <a:off x="0" y="0"/>
                            <a:ext cx="2374265" cy="2339975"/>
                          </a:xfrm>
                          <a:prstGeom prst="rect">
                            <a:avLst/>
                          </a:prstGeom>
                          <a:noFill/>
                          <a:ln w="9525">
                            <a:noFill/>
                          </a:ln>
                        </pic:spPr>
                      </pic:pic>
                    </a:graphicData>
                  </a:graphic>
                </wp:inline>
              </w:drawing>
            </w:r>
            <w:r>
              <w:rPr>
                <w:szCs w:val="24"/>
              </w:rPr>
              <w:t>c.</w:t>
            </w:r>
            <w:r>
              <w:rPr>
                <w:rFonts w:hint="eastAsia"/>
                <w:szCs w:val="24"/>
              </w:rPr>
              <w:t>支渠沿岸垃圾堆放严重</w:t>
            </w:r>
          </w:p>
        </w:tc>
        <w:tc>
          <w:tcPr>
            <w:tcW w:w="4307" w:type="dxa"/>
            <w:vAlign w:val="center"/>
          </w:tcPr>
          <w:p>
            <w:pPr>
              <w:spacing w:line="240" w:lineRule="auto"/>
              <w:ind w:firstLine="0" w:firstLineChars="0"/>
              <w:jc w:val="center"/>
              <w:rPr>
                <w:szCs w:val="24"/>
              </w:rPr>
            </w:pPr>
            <w:r>
              <w:rPr>
                <w:szCs w:val="24"/>
              </w:rPr>
              <w:drawing>
                <wp:inline distT="0" distB="0" distL="114300" distR="114300">
                  <wp:extent cx="2615565" cy="2402205"/>
                  <wp:effectExtent l="0" t="0" r="13335" b="17145"/>
                  <wp:docPr id="8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9"/>
                          <pic:cNvPicPr>
                            <a:picLocks noChangeAspect="1"/>
                          </pic:cNvPicPr>
                        </pic:nvPicPr>
                        <pic:blipFill>
                          <a:blip r:embed="rId42"/>
                          <a:stretch>
                            <a:fillRect/>
                          </a:stretch>
                        </pic:blipFill>
                        <pic:spPr>
                          <a:xfrm>
                            <a:off x="0" y="0"/>
                            <a:ext cx="2615565" cy="2402205"/>
                          </a:xfrm>
                          <a:prstGeom prst="rect">
                            <a:avLst/>
                          </a:prstGeom>
                          <a:noFill/>
                          <a:ln w="9525">
                            <a:noFill/>
                          </a:ln>
                        </pic:spPr>
                      </pic:pic>
                    </a:graphicData>
                  </a:graphic>
                </wp:inline>
              </w:drawing>
            </w:r>
            <w:r>
              <w:rPr>
                <w:szCs w:val="24"/>
              </w:rPr>
              <w:t>d.</w:t>
            </w:r>
            <w:r>
              <w:rPr>
                <w:rFonts w:hint="eastAsia"/>
                <w:szCs w:val="24"/>
              </w:rPr>
              <w:t>龙河中游龙河南桥以上位置</w:t>
            </w:r>
          </w:p>
        </w:tc>
      </w:tr>
      <w:tr>
        <w:tblPrEx>
          <w:tblLayout w:type="fixed"/>
          <w:tblCellMar>
            <w:top w:w="0" w:type="dxa"/>
            <w:left w:w="108" w:type="dxa"/>
            <w:bottom w:w="0" w:type="dxa"/>
            <w:right w:w="108" w:type="dxa"/>
          </w:tblCellMar>
        </w:tblPrEx>
        <w:trPr>
          <w:jc w:val="center"/>
        </w:trPr>
        <w:tc>
          <w:tcPr>
            <w:tcW w:w="3999" w:type="dxa"/>
            <w:vAlign w:val="center"/>
          </w:tcPr>
          <w:p>
            <w:pPr>
              <w:spacing w:line="240" w:lineRule="auto"/>
              <w:ind w:firstLine="0" w:firstLineChars="0"/>
              <w:jc w:val="center"/>
              <w:rPr>
                <w:szCs w:val="24"/>
              </w:rPr>
            </w:pPr>
            <w:r>
              <w:rPr>
                <w:szCs w:val="24"/>
              </w:rPr>
              <w:drawing>
                <wp:inline distT="0" distB="0" distL="114300" distR="114300">
                  <wp:extent cx="2460625" cy="2248535"/>
                  <wp:effectExtent l="0" t="0" r="15875" b="18415"/>
                  <wp:docPr id="8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60"/>
                          <pic:cNvPicPr>
                            <a:picLocks noChangeAspect="1"/>
                          </pic:cNvPicPr>
                        </pic:nvPicPr>
                        <pic:blipFill>
                          <a:blip r:embed="rId43"/>
                          <a:stretch>
                            <a:fillRect/>
                          </a:stretch>
                        </pic:blipFill>
                        <pic:spPr>
                          <a:xfrm>
                            <a:off x="0" y="0"/>
                            <a:ext cx="2460625" cy="2248535"/>
                          </a:xfrm>
                          <a:prstGeom prst="rect">
                            <a:avLst/>
                          </a:prstGeom>
                          <a:noFill/>
                          <a:ln w="9525">
                            <a:noFill/>
                          </a:ln>
                        </pic:spPr>
                      </pic:pic>
                    </a:graphicData>
                  </a:graphic>
                </wp:inline>
              </w:drawing>
            </w:r>
          </w:p>
          <w:p>
            <w:pPr>
              <w:spacing w:line="240" w:lineRule="auto"/>
              <w:ind w:firstLine="0" w:firstLineChars="0"/>
              <w:jc w:val="center"/>
              <w:rPr>
                <w:szCs w:val="24"/>
              </w:rPr>
            </w:pPr>
            <w:r>
              <w:rPr>
                <w:szCs w:val="24"/>
              </w:rPr>
              <w:t>e.</w:t>
            </w:r>
            <w:r>
              <w:rPr>
                <w:rFonts w:hint="eastAsia"/>
                <w:szCs w:val="24"/>
              </w:rPr>
              <w:t>下游新龙河</w:t>
            </w:r>
          </w:p>
        </w:tc>
        <w:tc>
          <w:tcPr>
            <w:tcW w:w="4307" w:type="dxa"/>
            <w:vAlign w:val="center"/>
          </w:tcPr>
          <w:p>
            <w:pPr>
              <w:spacing w:line="240" w:lineRule="auto"/>
              <w:ind w:firstLine="0" w:firstLineChars="0"/>
              <w:jc w:val="center"/>
              <w:rPr>
                <w:szCs w:val="24"/>
              </w:rPr>
            </w:pPr>
            <w:r>
              <w:rPr>
                <w:szCs w:val="24"/>
              </w:rPr>
              <w:drawing>
                <wp:inline distT="0" distB="0" distL="114300" distR="114300">
                  <wp:extent cx="2577465" cy="2112645"/>
                  <wp:effectExtent l="0" t="0" r="13335" b="1905"/>
                  <wp:docPr id="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61"/>
                          <pic:cNvPicPr>
                            <a:picLocks noChangeAspect="1"/>
                          </pic:cNvPicPr>
                        </pic:nvPicPr>
                        <pic:blipFill>
                          <a:blip r:embed="rId44"/>
                          <a:stretch>
                            <a:fillRect/>
                          </a:stretch>
                        </pic:blipFill>
                        <pic:spPr>
                          <a:xfrm>
                            <a:off x="0" y="0"/>
                            <a:ext cx="2577465" cy="2112645"/>
                          </a:xfrm>
                          <a:prstGeom prst="rect">
                            <a:avLst/>
                          </a:prstGeom>
                          <a:noFill/>
                          <a:ln w="9525">
                            <a:noFill/>
                          </a:ln>
                        </pic:spPr>
                      </pic:pic>
                    </a:graphicData>
                  </a:graphic>
                </wp:inline>
              </w:drawing>
            </w:r>
            <w:r>
              <w:rPr>
                <w:szCs w:val="24"/>
              </w:rPr>
              <w:t>f.</w:t>
            </w:r>
            <w:r>
              <w:rPr>
                <w:rFonts w:hint="eastAsia"/>
                <w:szCs w:val="24"/>
              </w:rPr>
              <w:t>大皮营引渠与龙河交汇前位置</w:t>
            </w:r>
          </w:p>
        </w:tc>
      </w:tr>
      <w:tr>
        <w:tblPrEx>
          <w:tblLayout w:type="fixed"/>
          <w:tblCellMar>
            <w:top w:w="0" w:type="dxa"/>
            <w:left w:w="108" w:type="dxa"/>
            <w:bottom w:w="0" w:type="dxa"/>
            <w:right w:w="108" w:type="dxa"/>
          </w:tblCellMar>
        </w:tblPrEx>
        <w:trPr>
          <w:jc w:val="center"/>
        </w:trPr>
        <w:tc>
          <w:tcPr>
            <w:tcW w:w="3999" w:type="dxa"/>
            <w:vAlign w:val="center"/>
          </w:tcPr>
          <w:p>
            <w:pPr>
              <w:spacing w:line="240" w:lineRule="auto"/>
              <w:ind w:firstLine="0" w:firstLineChars="0"/>
              <w:jc w:val="center"/>
              <w:rPr>
                <w:szCs w:val="24"/>
              </w:rPr>
            </w:pPr>
            <w:r>
              <w:rPr>
                <w:szCs w:val="24"/>
              </w:rPr>
              <w:drawing>
                <wp:inline distT="0" distB="0" distL="114300" distR="114300">
                  <wp:extent cx="2441575" cy="2287905"/>
                  <wp:effectExtent l="0" t="0" r="15875" b="17145"/>
                  <wp:docPr id="8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2"/>
                          <pic:cNvPicPr>
                            <a:picLocks noChangeAspect="1"/>
                          </pic:cNvPicPr>
                        </pic:nvPicPr>
                        <pic:blipFill>
                          <a:blip r:embed="rId45"/>
                          <a:stretch>
                            <a:fillRect/>
                          </a:stretch>
                        </pic:blipFill>
                        <pic:spPr>
                          <a:xfrm>
                            <a:off x="0" y="0"/>
                            <a:ext cx="2441575" cy="2287905"/>
                          </a:xfrm>
                          <a:prstGeom prst="rect">
                            <a:avLst/>
                          </a:prstGeom>
                          <a:noFill/>
                          <a:ln w="9525">
                            <a:noFill/>
                          </a:ln>
                        </pic:spPr>
                      </pic:pic>
                    </a:graphicData>
                  </a:graphic>
                </wp:inline>
              </w:drawing>
            </w:r>
          </w:p>
          <w:p>
            <w:pPr>
              <w:spacing w:line="240" w:lineRule="auto"/>
              <w:ind w:firstLine="0" w:firstLineChars="0"/>
              <w:jc w:val="center"/>
              <w:rPr>
                <w:szCs w:val="24"/>
              </w:rPr>
            </w:pPr>
            <w:r>
              <w:rPr>
                <w:szCs w:val="24"/>
              </w:rPr>
              <w:t>g.</w:t>
            </w:r>
            <w:r>
              <w:rPr>
                <w:rFonts w:hint="eastAsia"/>
                <w:szCs w:val="24"/>
              </w:rPr>
              <w:t>半截河与龙河交汇处</w:t>
            </w:r>
          </w:p>
        </w:tc>
        <w:tc>
          <w:tcPr>
            <w:tcW w:w="4307" w:type="dxa"/>
            <w:vAlign w:val="center"/>
          </w:tcPr>
          <w:p>
            <w:pPr>
              <w:spacing w:line="240" w:lineRule="auto"/>
              <w:ind w:firstLine="0" w:firstLineChars="0"/>
              <w:jc w:val="center"/>
              <w:rPr>
                <w:szCs w:val="24"/>
              </w:rPr>
            </w:pPr>
            <w:r>
              <w:rPr>
                <w:szCs w:val="24"/>
              </w:rPr>
              <w:drawing>
                <wp:inline distT="0" distB="0" distL="114300" distR="114300">
                  <wp:extent cx="2658745" cy="2259965"/>
                  <wp:effectExtent l="0" t="0" r="8255" b="6985"/>
                  <wp:docPr id="90"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3"/>
                          <pic:cNvPicPr>
                            <a:picLocks noChangeAspect="1"/>
                          </pic:cNvPicPr>
                        </pic:nvPicPr>
                        <pic:blipFill>
                          <a:blip r:embed="rId46"/>
                          <a:stretch>
                            <a:fillRect/>
                          </a:stretch>
                        </pic:blipFill>
                        <pic:spPr>
                          <a:xfrm>
                            <a:off x="0" y="0"/>
                            <a:ext cx="2658745" cy="2259965"/>
                          </a:xfrm>
                          <a:prstGeom prst="rect">
                            <a:avLst/>
                          </a:prstGeom>
                          <a:noFill/>
                          <a:ln w="9525">
                            <a:noFill/>
                          </a:ln>
                        </pic:spPr>
                      </pic:pic>
                    </a:graphicData>
                  </a:graphic>
                </wp:inline>
              </w:drawing>
            </w:r>
          </w:p>
          <w:p>
            <w:pPr>
              <w:spacing w:line="240" w:lineRule="auto"/>
              <w:ind w:firstLine="0" w:firstLineChars="0"/>
              <w:jc w:val="center"/>
              <w:rPr>
                <w:szCs w:val="24"/>
              </w:rPr>
            </w:pPr>
            <w:r>
              <w:rPr>
                <w:rFonts w:hint="eastAsia"/>
                <w:szCs w:val="24"/>
              </w:rPr>
              <w:t>h</w:t>
            </w:r>
            <w:r>
              <w:rPr>
                <w:szCs w:val="24"/>
              </w:rPr>
              <w:t>.</w:t>
            </w:r>
            <w:r>
              <w:rPr>
                <w:rFonts w:hint="eastAsia"/>
                <w:szCs w:val="24"/>
              </w:rPr>
              <w:t>经过东张务湿地处理后的龙河</w:t>
            </w:r>
          </w:p>
        </w:tc>
      </w:tr>
    </w:tbl>
    <w:p>
      <w:pPr>
        <w:spacing w:line="240" w:lineRule="auto"/>
        <w:ind w:firstLine="0" w:firstLineChars="0"/>
        <w:jc w:val="center"/>
        <w:rPr>
          <w:b/>
          <w:szCs w:val="24"/>
        </w:rPr>
      </w:pPr>
      <w:r>
        <w:rPr>
          <w:rFonts w:hint="eastAsia"/>
          <w:b/>
          <w:szCs w:val="24"/>
        </w:rPr>
        <w:t>图</w:t>
      </w:r>
      <w:r>
        <w:rPr>
          <w:b/>
          <w:szCs w:val="24"/>
        </w:rPr>
        <w:t>3</w:t>
      </w:r>
      <w:r>
        <w:rPr>
          <w:szCs w:val="24"/>
        </w:rPr>
        <w:t>-</w:t>
      </w:r>
      <w:r>
        <w:rPr>
          <w:b/>
          <w:szCs w:val="24"/>
        </w:rPr>
        <w:t>2</w:t>
      </w:r>
      <w:r>
        <w:rPr>
          <w:rFonts w:hint="eastAsia"/>
          <w:b/>
          <w:szCs w:val="24"/>
        </w:rPr>
        <w:t>　龙河及其支流现场状况</w:t>
      </w:r>
    </w:p>
    <w:p>
      <w:pPr>
        <w:spacing w:after="222" w:afterLines="50" w:line="590" w:lineRule="exact"/>
        <w:ind w:firstLine="640"/>
        <w:rPr>
          <w:rFonts w:eastAsia="仿宋_GB2312" w:cs="Times New Roman"/>
          <w:sz w:val="32"/>
          <w:szCs w:val="32"/>
        </w:rPr>
      </w:pPr>
      <w:r>
        <w:rPr>
          <w:rFonts w:eastAsia="仿宋_GB2312" w:cs="Times New Roman"/>
          <w:sz w:val="32"/>
          <w:szCs w:val="32"/>
        </w:rPr>
        <w:t>支流半截河与龙河之间也有闸坝拦截，半截河末端水体水质较差，水面呈黄色、浑浊，沿岸垃圾较多，半截河水能溢流汇入龙河。半截河闸坝上游被拦截成三段，整体水质较差，第一段房产开发处水体呈黑色，河两岸已硬化，闸坝影响水</w:t>
      </w:r>
      <w:r>
        <w:rPr>
          <w:rFonts w:hint="eastAsia" w:eastAsia="仿宋_GB2312" w:cs="Times New Roman"/>
          <w:sz w:val="32"/>
          <w:szCs w:val="32"/>
        </w:rPr>
        <w:t>体</w:t>
      </w:r>
      <w:r>
        <w:rPr>
          <w:rFonts w:eastAsia="仿宋_GB2312" w:cs="Times New Roman"/>
          <w:sz w:val="32"/>
          <w:szCs w:val="32"/>
        </w:rPr>
        <w:t>不流动；第二段水面飘有垃圾，沿岸垃圾遍地，同时一汇入小支渠水体富营养化，异臭明显；第三段河道干涸，上游周边有农村居民向河道排放生活污水，水体臭味明显。</w:t>
      </w:r>
    </w:p>
    <w:tbl>
      <w:tblPr>
        <w:tblStyle w:val="11"/>
        <w:tblW w:w="8306" w:type="dxa"/>
        <w:jc w:val="center"/>
        <w:tblInd w:w="0" w:type="dxa"/>
        <w:tblLayout w:type="fixed"/>
        <w:tblCellMar>
          <w:top w:w="0" w:type="dxa"/>
          <w:left w:w="108" w:type="dxa"/>
          <w:bottom w:w="0" w:type="dxa"/>
          <w:right w:w="108" w:type="dxa"/>
        </w:tblCellMar>
      </w:tblPr>
      <w:tblGrid>
        <w:gridCol w:w="4213"/>
        <w:gridCol w:w="4093"/>
      </w:tblGrid>
      <w:tr>
        <w:tblPrEx>
          <w:tblLayout w:type="fixed"/>
          <w:tblCellMar>
            <w:top w:w="0" w:type="dxa"/>
            <w:left w:w="108" w:type="dxa"/>
            <w:bottom w:w="0" w:type="dxa"/>
            <w:right w:w="108" w:type="dxa"/>
          </w:tblCellMar>
        </w:tblPrEx>
        <w:trPr>
          <w:jc w:val="center"/>
        </w:trPr>
        <w:tc>
          <w:tcPr>
            <w:tcW w:w="4213" w:type="dxa"/>
            <w:vAlign w:val="center"/>
          </w:tcPr>
          <w:p>
            <w:pPr>
              <w:spacing w:line="240" w:lineRule="auto"/>
              <w:ind w:firstLine="0" w:firstLineChars="0"/>
              <w:jc w:val="center"/>
              <w:rPr>
                <w:szCs w:val="24"/>
              </w:rPr>
            </w:pPr>
            <w:r>
              <w:rPr>
                <w:szCs w:val="24"/>
              </w:rPr>
              <w:drawing>
                <wp:inline distT="0" distB="0" distL="114300" distR="114300">
                  <wp:extent cx="2527300" cy="2034540"/>
                  <wp:effectExtent l="0" t="0" r="6350" b="3810"/>
                  <wp:docPr id="9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4"/>
                          <pic:cNvPicPr>
                            <a:picLocks noChangeAspect="1"/>
                          </pic:cNvPicPr>
                        </pic:nvPicPr>
                        <pic:blipFill>
                          <a:blip r:embed="rId47"/>
                          <a:stretch>
                            <a:fillRect/>
                          </a:stretch>
                        </pic:blipFill>
                        <pic:spPr>
                          <a:xfrm>
                            <a:off x="0" y="0"/>
                            <a:ext cx="2527300" cy="2034540"/>
                          </a:xfrm>
                          <a:prstGeom prst="rect">
                            <a:avLst/>
                          </a:prstGeom>
                          <a:noFill/>
                          <a:ln w="9525">
                            <a:noFill/>
                          </a:ln>
                        </pic:spPr>
                      </pic:pic>
                    </a:graphicData>
                  </a:graphic>
                </wp:inline>
              </w:drawing>
            </w:r>
          </w:p>
          <w:p>
            <w:pPr>
              <w:spacing w:line="240" w:lineRule="auto"/>
              <w:ind w:firstLine="0" w:firstLineChars="0"/>
              <w:jc w:val="center"/>
              <w:rPr>
                <w:szCs w:val="24"/>
              </w:rPr>
            </w:pPr>
            <w:r>
              <w:rPr>
                <w:szCs w:val="24"/>
              </w:rPr>
              <w:t>a.</w:t>
            </w:r>
            <w:r>
              <w:rPr>
                <w:rFonts w:hint="eastAsia"/>
                <w:szCs w:val="24"/>
              </w:rPr>
              <w:t>半截河处拦截闸</w:t>
            </w:r>
          </w:p>
        </w:tc>
        <w:tc>
          <w:tcPr>
            <w:tcW w:w="4093" w:type="dxa"/>
            <w:vAlign w:val="center"/>
          </w:tcPr>
          <w:p>
            <w:pPr>
              <w:spacing w:line="240" w:lineRule="auto"/>
              <w:ind w:firstLine="0" w:firstLineChars="0"/>
              <w:jc w:val="center"/>
              <w:rPr>
                <w:szCs w:val="24"/>
              </w:rPr>
            </w:pPr>
            <w:r>
              <w:rPr>
                <w:szCs w:val="24"/>
              </w:rPr>
              <w:drawing>
                <wp:inline distT="0" distB="0" distL="114300" distR="114300">
                  <wp:extent cx="2503170" cy="2044700"/>
                  <wp:effectExtent l="0" t="0" r="11430" b="12700"/>
                  <wp:docPr id="9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5"/>
                          <pic:cNvPicPr>
                            <a:picLocks noChangeAspect="1"/>
                          </pic:cNvPicPr>
                        </pic:nvPicPr>
                        <pic:blipFill>
                          <a:blip r:embed="rId48"/>
                          <a:stretch>
                            <a:fillRect/>
                          </a:stretch>
                        </pic:blipFill>
                        <pic:spPr>
                          <a:xfrm>
                            <a:off x="0" y="0"/>
                            <a:ext cx="2503170" cy="2044700"/>
                          </a:xfrm>
                          <a:prstGeom prst="rect">
                            <a:avLst/>
                          </a:prstGeom>
                          <a:noFill/>
                          <a:ln w="9525">
                            <a:noFill/>
                          </a:ln>
                        </pic:spPr>
                      </pic:pic>
                    </a:graphicData>
                  </a:graphic>
                </wp:inline>
              </w:drawing>
            </w:r>
          </w:p>
          <w:p>
            <w:pPr>
              <w:spacing w:line="240" w:lineRule="auto"/>
              <w:ind w:firstLine="0" w:firstLineChars="0"/>
              <w:jc w:val="center"/>
              <w:rPr>
                <w:szCs w:val="24"/>
              </w:rPr>
            </w:pPr>
            <w:r>
              <w:rPr>
                <w:szCs w:val="24"/>
              </w:rPr>
              <w:t>b.</w:t>
            </w:r>
            <w:r>
              <w:rPr>
                <w:rFonts w:hint="eastAsia"/>
                <w:szCs w:val="24"/>
              </w:rPr>
              <w:t>半截河溢流处</w:t>
            </w:r>
          </w:p>
        </w:tc>
      </w:tr>
      <w:tr>
        <w:tblPrEx>
          <w:tblLayout w:type="fixed"/>
          <w:tblCellMar>
            <w:top w:w="0" w:type="dxa"/>
            <w:left w:w="108" w:type="dxa"/>
            <w:bottom w:w="0" w:type="dxa"/>
            <w:right w:w="108" w:type="dxa"/>
          </w:tblCellMar>
        </w:tblPrEx>
        <w:trPr>
          <w:jc w:val="center"/>
        </w:trPr>
        <w:tc>
          <w:tcPr>
            <w:tcW w:w="4213" w:type="dxa"/>
            <w:vAlign w:val="center"/>
          </w:tcPr>
          <w:p>
            <w:pPr>
              <w:spacing w:line="240" w:lineRule="auto"/>
              <w:ind w:firstLine="0" w:firstLineChars="0"/>
              <w:jc w:val="center"/>
              <w:rPr>
                <w:szCs w:val="24"/>
              </w:rPr>
            </w:pPr>
            <w:r>
              <w:rPr>
                <w:szCs w:val="24"/>
              </w:rPr>
              <w:drawing>
                <wp:inline distT="0" distB="0" distL="114300" distR="114300">
                  <wp:extent cx="2377440" cy="2160905"/>
                  <wp:effectExtent l="0" t="0" r="3810" b="10795"/>
                  <wp:docPr id="9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6"/>
                          <pic:cNvPicPr>
                            <a:picLocks noChangeAspect="1"/>
                          </pic:cNvPicPr>
                        </pic:nvPicPr>
                        <pic:blipFill>
                          <a:blip r:embed="rId49"/>
                          <a:stretch>
                            <a:fillRect/>
                          </a:stretch>
                        </pic:blipFill>
                        <pic:spPr>
                          <a:xfrm>
                            <a:off x="0" y="0"/>
                            <a:ext cx="2377440" cy="2160905"/>
                          </a:xfrm>
                          <a:prstGeom prst="rect">
                            <a:avLst/>
                          </a:prstGeom>
                          <a:noFill/>
                          <a:ln w="9525">
                            <a:noFill/>
                          </a:ln>
                        </pic:spPr>
                      </pic:pic>
                    </a:graphicData>
                  </a:graphic>
                </wp:inline>
              </w:drawing>
            </w:r>
          </w:p>
          <w:p>
            <w:pPr>
              <w:spacing w:line="240" w:lineRule="auto"/>
              <w:ind w:firstLine="0" w:firstLineChars="0"/>
              <w:jc w:val="center"/>
              <w:rPr>
                <w:szCs w:val="24"/>
              </w:rPr>
            </w:pPr>
            <w:r>
              <w:rPr>
                <w:szCs w:val="24"/>
              </w:rPr>
              <w:t>c.</w:t>
            </w:r>
            <w:r>
              <w:rPr>
                <w:rFonts w:hint="eastAsia"/>
                <w:szCs w:val="24"/>
              </w:rPr>
              <w:t>半截河溢流水流入龙河</w:t>
            </w:r>
          </w:p>
        </w:tc>
        <w:tc>
          <w:tcPr>
            <w:tcW w:w="4093" w:type="dxa"/>
            <w:vAlign w:val="center"/>
          </w:tcPr>
          <w:p>
            <w:pPr>
              <w:spacing w:line="240" w:lineRule="auto"/>
              <w:ind w:firstLine="0" w:firstLineChars="0"/>
              <w:jc w:val="center"/>
              <w:rPr>
                <w:szCs w:val="24"/>
              </w:rPr>
            </w:pPr>
            <w:r>
              <w:rPr>
                <w:szCs w:val="24"/>
              </w:rPr>
              <w:drawing>
                <wp:inline distT="0" distB="0" distL="114300" distR="114300">
                  <wp:extent cx="2468880" cy="2186305"/>
                  <wp:effectExtent l="0" t="0" r="7620" b="4445"/>
                  <wp:docPr id="9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7"/>
                          <pic:cNvPicPr>
                            <a:picLocks noChangeAspect="1"/>
                          </pic:cNvPicPr>
                        </pic:nvPicPr>
                        <pic:blipFill>
                          <a:blip r:embed="rId50"/>
                          <a:stretch>
                            <a:fillRect/>
                          </a:stretch>
                        </pic:blipFill>
                        <pic:spPr>
                          <a:xfrm flipH="1">
                            <a:off x="0" y="0"/>
                            <a:ext cx="2468880" cy="2186305"/>
                          </a:xfrm>
                          <a:prstGeom prst="rect">
                            <a:avLst/>
                          </a:prstGeom>
                          <a:noFill/>
                          <a:ln w="9525">
                            <a:noFill/>
                          </a:ln>
                        </pic:spPr>
                      </pic:pic>
                    </a:graphicData>
                  </a:graphic>
                </wp:inline>
              </w:drawing>
            </w:r>
          </w:p>
          <w:p>
            <w:pPr>
              <w:spacing w:line="240" w:lineRule="auto"/>
              <w:ind w:firstLine="0" w:firstLineChars="0"/>
              <w:jc w:val="center"/>
              <w:rPr>
                <w:szCs w:val="24"/>
              </w:rPr>
            </w:pPr>
            <w:r>
              <w:rPr>
                <w:szCs w:val="24"/>
              </w:rPr>
              <w:t>d.</w:t>
            </w:r>
            <w:r>
              <w:rPr>
                <w:rFonts w:hint="eastAsia"/>
                <w:szCs w:val="24"/>
              </w:rPr>
              <w:t>半截河闸以上第一段</w:t>
            </w:r>
          </w:p>
        </w:tc>
      </w:tr>
      <w:tr>
        <w:tblPrEx>
          <w:tblLayout w:type="fixed"/>
          <w:tblCellMar>
            <w:top w:w="0" w:type="dxa"/>
            <w:left w:w="108" w:type="dxa"/>
            <w:bottom w:w="0" w:type="dxa"/>
            <w:right w:w="108" w:type="dxa"/>
          </w:tblCellMar>
        </w:tblPrEx>
        <w:trPr>
          <w:jc w:val="center"/>
        </w:trPr>
        <w:tc>
          <w:tcPr>
            <w:tcW w:w="4213" w:type="dxa"/>
            <w:vAlign w:val="center"/>
          </w:tcPr>
          <w:p>
            <w:pPr>
              <w:spacing w:line="240" w:lineRule="auto"/>
              <w:ind w:firstLine="0" w:firstLineChars="0"/>
              <w:jc w:val="center"/>
              <w:rPr>
                <w:szCs w:val="24"/>
              </w:rPr>
            </w:pPr>
            <w:r>
              <w:rPr>
                <w:szCs w:val="24"/>
              </w:rPr>
              <w:drawing>
                <wp:inline distT="0" distB="0" distL="114300" distR="114300">
                  <wp:extent cx="2506345" cy="1949450"/>
                  <wp:effectExtent l="0" t="0" r="8255" b="12700"/>
                  <wp:docPr id="9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8"/>
                          <pic:cNvPicPr>
                            <a:picLocks noChangeAspect="1"/>
                          </pic:cNvPicPr>
                        </pic:nvPicPr>
                        <pic:blipFill>
                          <a:blip r:embed="rId51"/>
                          <a:stretch>
                            <a:fillRect/>
                          </a:stretch>
                        </pic:blipFill>
                        <pic:spPr>
                          <a:xfrm>
                            <a:off x="0" y="0"/>
                            <a:ext cx="2506345" cy="1949450"/>
                          </a:xfrm>
                          <a:prstGeom prst="rect">
                            <a:avLst/>
                          </a:prstGeom>
                          <a:noFill/>
                          <a:ln w="9525">
                            <a:noFill/>
                          </a:ln>
                        </pic:spPr>
                      </pic:pic>
                    </a:graphicData>
                  </a:graphic>
                </wp:inline>
              </w:drawing>
            </w:r>
          </w:p>
          <w:p>
            <w:pPr>
              <w:spacing w:line="240" w:lineRule="auto"/>
              <w:ind w:firstLine="0" w:firstLineChars="0"/>
              <w:jc w:val="center"/>
              <w:rPr>
                <w:szCs w:val="24"/>
              </w:rPr>
            </w:pPr>
            <w:r>
              <w:rPr>
                <w:szCs w:val="24"/>
              </w:rPr>
              <w:t>e.</w:t>
            </w:r>
            <w:r>
              <w:rPr>
                <w:rFonts w:hint="eastAsia"/>
                <w:szCs w:val="24"/>
              </w:rPr>
              <w:t>拦截的半截河第二段</w:t>
            </w:r>
          </w:p>
        </w:tc>
        <w:tc>
          <w:tcPr>
            <w:tcW w:w="4093" w:type="dxa"/>
            <w:vAlign w:val="center"/>
          </w:tcPr>
          <w:p>
            <w:pPr>
              <w:spacing w:line="240" w:lineRule="auto"/>
              <w:ind w:firstLine="0" w:firstLineChars="0"/>
              <w:jc w:val="center"/>
              <w:rPr>
                <w:szCs w:val="24"/>
              </w:rPr>
            </w:pPr>
            <w:r>
              <w:rPr>
                <w:szCs w:val="24"/>
              </w:rPr>
              <w:drawing>
                <wp:inline distT="0" distB="0" distL="114300" distR="114300">
                  <wp:extent cx="2444115" cy="1949450"/>
                  <wp:effectExtent l="0" t="0" r="13335" b="12700"/>
                  <wp:docPr id="4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9"/>
                          <pic:cNvPicPr>
                            <a:picLocks noChangeAspect="1"/>
                          </pic:cNvPicPr>
                        </pic:nvPicPr>
                        <pic:blipFill>
                          <a:blip r:embed="rId52"/>
                          <a:stretch>
                            <a:fillRect/>
                          </a:stretch>
                        </pic:blipFill>
                        <pic:spPr>
                          <a:xfrm>
                            <a:off x="0" y="0"/>
                            <a:ext cx="2444115" cy="1949450"/>
                          </a:xfrm>
                          <a:prstGeom prst="rect">
                            <a:avLst/>
                          </a:prstGeom>
                          <a:noFill/>
                          <a:ln w="9525">
                            <a:noFill/>
                          </a:ln>
                        </pic:spPr>
                      </pic:pic>
                    </a:graphicData>
                  </a:graphic>
                </wp:inline>
              </w:drawing>
            </w:r>
          </w:p>
          <w:p>
            <w:pPr>
              <w:spacing w:line="240" w:lineRule="auto"/>
              <w:ind w:firstLine="0" w:firstLineChars="0"/>
              <w:jc w:val="center"/>
              <w:rPr>
                <w:szCs w:val="24"/>
              </w:rPr>
            </w:pPr>
            <w:r>
              <w:rPr>
                <w:rFonts w:hint="eastAsia"/>
                <w:szCs w:val="24"/>
              </w:rPr>
              <w:t>f</w:t>
            </w:r>
            <w:r>
              <w:rPr>
                <w:szCs w:val="24"/>
              </w:rPr>
              <w:t>.</w:t>
            </w:r>
            <w:r>
              <w:rPr>
                <w:rFonts w:hint="eastAsia"/>
                <w:szCs w:val="24"/>
              </w:rPr>
              <w:t>第三段半截河</w:t>
            </w:r>
          </w:p>
        </w:tc>
      </w:tr>
    </w:tbl>
    <w:p>
      <w:pPr>
        <w:spacing w:line="240" w:lineRule="auto"/>
        <w:ind w:firstLine="0" w:firstLineChars="0"/>
        <w:jc w:val="center"/>
        <w:rPr>
          <w:b/>
          <w:szCs w:val="24"/>
        </w:rPr>
      </w:pPr>
      <w:r>
        <w:rPr>
          <w:rFonts w:hint="eastAsia"/>
          <w:b/>
          <w:szCs w:val="24"/>
        </w:rPr>
        <w:t>图</w:t>
      </w:r>
      <w:r>
        <w:rPr>
          <w:b/>
          <w:szCs w:val="24"/>
        </w:rPr>
        <w:t>3</w:t>
      </w:r>
      <w:r>
        <w:rPr>
          <w:szCs w:val="24"/>
        </w:rPr>
        <w:t>-</w:t>
      </w:r>
      <w:r>
        <w:rPr>
          <w:b/>
          <w:szCs w:val="24"/>
        </w:rPr>
        <w:t>3</w:t>
      </w:r>
      <w:r>
        <w:rPr>
          <w:rFonts w:hint="eastAsia"/>
          <w:b/>
          <w:szCs w:val="24"/>
        </w:rPr>
        <w:t>　半截河现场状况</w:t>
      </w:r>
    </w:p>
    <w:p>
      <w:pPr>
        <w:spacing w:before="222" w:beforeLines="50"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）环城水系踏勘</w:t>
      </w:r>
    </w:p>
    <w:p>
      <w:pPr>
        <w:spacing w:after="222" w:afterLines="50" w:line="590" w:lineRule="exact"/>
        <w:ind w:firstLine="640"/>
        <w:rPr>
          <w:rFonts w:eastAsia="仿宋_GB2312" w:cs="Times New Roman"/>
          <w:sz w:val="32"/>
          <w:szCs w:val="32"/>
        </w:rPr>
      </w:pPr>
      <w:r>
        <w:rPr>
          <w:rFonts w:hint="eastAsia" w:eastAsia="仿宋_GB2312" w:cs="Times New Roman"/>
          <w:sz w:val="32"/>
          <w:szCs w:val="32"/>
        </w:rPr>
        <w:t>大皮营引渠上游水体尚无臭味，但水体有生活污水混入痕迹，初步判断有未雨污分流的生活污水溢流进入该渠；六干渠正在进行清淤后期工作，但河道沿岸有建筑垃圾堆放，尚未清理，河岸房屋拆迁后岸坡暂未开展绿化；八干渠水体有臭味，岸边存在垃圾堆放点，同时下游的市政截污管网存在雨天溢流漏水痕迹；五干渠由于只完成了部分河段的清淤，上游存在生活垃圾堆放，河道有一定臭味。</w:t>
      </w:r>
    </w:p>
    <w:tbl>
      <w:tblPr>
        <w:tblStyle w:val="11"/>
        <w:tblW w:w="8073" w:type="dxa"/>
        <w:jc w:val="center"/>
        <w:tblInd w:w="0" w:type="dxa"/>
        <w:tblLayout w:type="fixed"/>
        <w:tblCellMar>
          <w:top w:w="0" w:type="dxa"/>
          <w:left w:w="108" w:type="dxa"/>
          <w:bottom w:w="0" w:type="dxa"/>
          <w:right w:w="108" w:type="dxa"/>
        </w:tblCellMar>
      </w:tblPr>
      <w:tblGrid>
        <w:gridCol w:w="4079"/>
        <w:gridCol w:w="3994"/>
      </w:tblGrid>
      <w:tr>
        <w:tblPrEx>
          <w:tblLayout w:type="fixed"/>
          <w:tblCellMar>
            <w:top w:w="0" w:type="dxa"/>
            <w:left w:w="108" w:type="dxa"/>
            <w:bottom w:w="0" w:type="dxa"/>
            <w:right w:w="108" w:type="dxa"/>
          </w:tblCellMar>
        </w:tblPrEx>
        <w:trPr>
          <w:trHeight w:val="4013" w:hRule="atLeast"/>
          <w:jc w:val="center"/>
        </w:trPr>
        <w:tc>
          <w:tcPr>
            <w:tcW w:w="4079" w:type="dxa"/>
            <w:vAlign w:val="center"/>
          </w:tcPr>
          <w:p>
            <w:pPr>
              <w:spacing w:line="240" w:lineRule="auto"/>
              <w:ind w:firstLine="0" w:firstLineChars="0"/>
              <w:jc w:val="center"/>
              <w:rPr>
                <w:szCs w:val="24"/>
              </w:rPr>
            </w:pPr>
            <w:r>
              <w:rPr>
                <w:szCs w:val="24"/>
              </w:rPr>
              <w:drawing>
                <wp:inline distT="0" distB="0" distL="114300" distR="114300">
                  <wp:extent cx="2460625" cy="2369820"/>
                  <wp:effectExtent l="0" t="0" r="15875" b="11430"/>
                  <wp:docPr id="50" name="图片 70" descr="IMG_20190514_13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0" descr="IMG_20190514_134433"/>
                          <pic:cNvPicPr>
                            <a:picLocks noChangeAspect="1"/>
                          </pic:cNvPicPr>
                        </pic:nvPicPr>
                        <pic:blipFill>
                          <a:blip r:embed="rId53"/>
                          <a:stretch>
                            <a:fillRect/>
                          </a:stretch>
                        </pic:blipFill>
                        <pic:spPr>
                          <a:xfrm>
                            <a:off x="0" y="0"/>
                            <a:ext cx="2460625" cy="2369820"/>
                          </a:xfrm>
                          <a:prstGeom prst="rect">
                            <a:avLst/>
                          </a:prstGeom>
                          <a:noFill/>
                          <a:ln w="9525">
                            <a:noFill/>
                          </a:ln>
                        </pic:spPr>
                      </pic:pic>
                    </a:graphicData>
                  </a:graphic>
                </wp:inline>
              </w:drawing>
            </w:r>
          </w:p>
          <w:p>
            <w:pPr>
              <w:spacing w:line="240" w:lineRule="auto"/>
              <w:ind w:firstLine="0" w:firstLineChars="0"/>
              <w:jc w:val="center"/>
              <w:rPr>
                <w:szCs w:val="24"/>
              </w:rPr>
            </w:pPr>
            <w:r>
              <w:rPr>
                <w:szCs w:val="24"/>
              </w:rPr>
              <w:t>a.</w:t>
            </w:r>
            <w:r>
              <w:rPr>
                <w:rFonts w:hint="eastAsia"/>
                <w:szCs w:val="24"/>
              </w:rPr>
              <w:t>大皮营引渠上游</w:t>
            </w:r>
          </w:p>
        </w:tc>
        <w:tc>
          <w:tcPr>
            <w:tcW w:w="3994" w:type="dxa"/>
            <w:vAlign w:val="center"/>
          </w:tcPr>
          <w:p>
            <w:pPr>
              <w:spacing w:line="240" w:lineRule="auto"/>
              <w:ind w:firstLine="0" w:firstLineChars="0"/>
              <w:jc w:val="center"/>
              <w:rPr>
                <w:szCs w:val="24"/>
              </w:rPr>
            </w:pPr>
            <w:r>
              <w:rPr>
                <w:szCs w:val="24"/>
              </w:rPr>
              <w:drawing>
                <wp:inline distT="0" distB="0" distL="114300" distR="114300">
                  <wp:extent cx="2568575" cy="2377440"/>
                  <wp:effectExtent l="0" t="0" r="3175" b="3810"/>
                  <wp:docPr id="51" name="图片 71" descr="IMG_20190514_140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1" descr="IMG_20190514_140435"/>
                          <pic:cNvPicPr>
                            <a:picLocks noChangeAspect="1"/>
                          </pic:cNvPicPr>
                        </pic:nvPicPr>
                        <pic:blipFill>
                          <a:blip r:embed="rId54"/>
                          <a:stretch>
                            <a:fillRect/>
                          </a:stretch>
                        </pic:blipFill>
                        <pic:spPr>
                          <a:xfrm>
                            <a:off x="0" y="0"/>
                            <a:ext cx="2568575" cy="2377440"/>
                          </a:xfrm>
                          <a:prstGeom prst="rect">
                            <a:avLst/>
                          </a:prstGeom>
                          <a:noFill/>
                          <a:ln w="9525">
                            <a:noFill/>
                          </a:ln>
                        </pic:spPr>
                      </pic:pic>
                    </a:graphicData>
                  </a:graphic>
                </wp:inline>
              </w:drawing>
            </w:r>
          </w:p>
          <w:p>
            <w:pPr>
              <w:spacing w:line="240" w:lineRule="auto"/>
              <w:ind w:firstLine="0" w:firstLineChars="0"/>
              <w:jc w:val="center"/>
              <w:rPr>
                <w:szCs w:val="24"/>
              </w:rPr>
            </w:pPr>
            <w:r>
              <w:rPr>
                <w:szCs w:val="24"/>
              </w:rPr>
              <w:t>b.</w:t>
            </w:r>
            <w:r>
              <w:rPr>
                <w:rFonts w:hint="eastAsia"/>
                <w:szCs w:val="24"/>
              </w:rPr>
              <w:t>六干渠</w:t>
            </w:r>
          </w:p>
        </w:tc>
      </w:tr>
      <w:tr>
        <w:tblPrEx>
          <w:tblLayout w:type="fixed"/>
          <w:tblCellMar>
            <w:top w:w="0" w:type="dxa"/>
            <w:left w:w="108" w:type="dxa"/>
            <w:bottom w:w="0" w:type="dxa"/>
            <w:right w:w="108" w:type="dxa"/>
          </w:tblCellMar>
        </w:tblPrEx>
        <w:trPr>
          <w:trHeight w:val="3611" w:hRule="atLeast"/>
          <w:jc w:val="center"/>
        </w:trPr>
        <w:tc>
          <w:tcPr>
            <w:tcW w:w="4079" w:type="dxa"/>
            <w:vAlign w:val="center"/>
          </w:tcPr>
          <w:p>
            <w:pPr>
              <w:spacing w:line="240" w:lineRule="auto"/>
              <w:ind w:firstLine="0" w:firstLineChars="0"/>
              <w:jc w:val="center"/>
              <w:rPr>
                <w:szCs w:val="24"/>
              </w:rPr>
            </w:pPr>
            <w:r>
              <w:rPr>
                <w:szCs w:val="24"/>
              </w:rPr>
              <w:drawing>
                <wp:inline distT="0" distB="0" distL="114300" distR="114300">
                  <wp:extent cx="2623185" cy="2007870"/>
                  <wp:effectExtent l="0" t="0" r="5715" b="11430"/>
                  <wp:docPr id="52" name="图片 72" descr="IMG_20190514_14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2" descr="IMG_20190514_142756"/>
                          <pic:cNvPicPr>
                            <a:picLocks noChangeAspect="1"/>
                          </pic:cNvPicPr>
                        </pic:nvPicPr>
                        <pic:blipFill>
                          <a:blip r:embed="rId55"/>
                          <a:stretch>
                            <a:fillRect/>
                          </a:stretch>
                        </pic:blipFill>
                        <pic:spPr>
                          <a:xfrm>
                            <a:off x="0" y="0"/>
                            <a:ext cx="2623185" cy="2007870"/>
                          </a:xfrm>
                          <a:prstGeom prst="rect">
                            <a:avLst/>
                          </a:prstGeom>
                          <a:noFill/>
                          <a:ln w="9525">
                            <a:noFill/>
                          </a:ln>
                        </pic:spPr>
                      </pic:pic>
                    </a:graphicData>
                  </a:graphic>
                </wp:inline>
              </w:drawing>
            </w:r>
            <w:r>
              <w:rPr>
                <w:szCs w:val="24"/>
              </w:rPr>
              <w:t>c.</w:t>
            </w:r>
            <w:r>
              <w:rPr>
                <w:rFonts w:hint="eastAsia"/>
                <w:szCs w:val="24"/>
              </w:rPr>
              <w:t>八干渠</w:t>
            </w:r>
          </w:p>
        </w:tc>
        <w:tc>
          <w:tcPr>
            <w:tcW w:w="3994" w:type="dxa"/>
            <w:vAlign w:val="center"/>
          </w:tcPr>
          <w:p>
            <w:pPr>
              <w:spacing w:line="240" w:lineRule="auto"/>
              <w:ind w:firstLine="0" w:firstLineChars="0"/>
              <w:jc w:val="center"/>
              <w:rPr>
                <w:szCs w:val="24"/>
              </w:rPr>
            </w:pPr>
            <w:r>
              <w:rPr>
                <w:szCs w:val="24"/>
              </w:rPr>
              <w:drawing>
                <wp:inline distT="0" distB="0" distL="114300" distR="114300">
                  <wp:extent cx="2590165" cy="2009775"/>
                  <wp:effectExtent l="0" t="0" r="635" b="9525"/>
                  <wp:docPr id="5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3"/>
                          <pic:cNvPicPr>
                            <a:picLocks noChangeAspect="1"/>
                          </pic:cNvPicPr>
                        </pic:nvPicPr>
                        <pic:blipFill>
                          <a:blip r:embed="rId56"/>
                          <a:stretch>
                            <a:fillRect/>
                          </a:stretch>
                        </pic:blipFill>
                        <pic:spPr>
                          <a:xfrm>
                            <a:off x="0" y="0"/>
                            <a:ext cx="2590165" cy="2009775"/>
                          </a:xfrm>
                          <a:prstGeom prst="rect">
                            <a:avLst/>
                          </a:prstGeom>
                          <a:noFill/>
                          <a:ln w="9525">
                            <a:noFill/>
                          </a:ln>
                        </pic:spPr>
                      </pic:pic>
                    </a:graphicData>
                  </a:graphic>
                </wp:inline>
              </w:drawing>
            </w:r>
          </w:p>
          <w:p>
            <w:pPr>
              <w:spacing w:line="240" w:lineRule="auto"/>
              <w:ind w:firstLine="0" w:firstLineChars="0"/>
              <w:jc w:val="center"/>
              <w:rPr>
                <w:szCs w:val="24"/>
              </w:rPr>
            </w:pPr>
            <w:r>
              <w:rPr>
                <w:szCs w:val="24"/>
              </w:rPr>
              <w:t>d.</w:t>
            </w:r>
            <w:r>
              <w:rPr>
                <w:rFonts w:hint="eastAsia"/>
                <w:szCs w:val="24"/>
              </w:rPr>
              <w:t>五干渠上游</w:t>
            </w:r>
          </w:p>
        </w:tc>
      </w:tr>
      <w:tr>
        <w:tblPrEx>
          <w:tblLayout w:type="fixed"/>
          <w:tblCellMar>
            <w:top w:w="0" w:type="dxa"/>
            <w:left w:w="108" w:type="dxa"/>
            <w:bottom w:w="0" w:type="dxa"/>
            <w:right w:w="108" w:type="dxa"/>
          </w:tblCellMar>
        </w:tblPrEx>
        <w:trPr>
          <w:trHeight w:val="4013" w:hRule="atLeast"/>
          <w:jc w:val="center"/>
        </w:trPr>
        <w:tc>
          <w:tcPr>
            <w:tcW w:w="8073" w:type="dxa"/>
            <w:gridSpan w:val="2"/>
            <w:vAlign w:val="center"/>
          </w:tcPr>
          <w:p>
            <w:pPr>
              <w:spacing w:line="240" w:lineRule="auto"/>
              <w:ind w:firstLine="0" w:firstLineChars="0"/>
              <w:jc w:val="left"/>
              <w:rPr>
                <w:szCs w:val="24"/>
              </w:rPr>
            </w:pPr>
            <w:r>
              <w:rPr>
                <w:szCs w:val="24"/>
              </w:rPr>
              <w:drawing>
                <wp:inline distT="0" distB="0" distL="114300" distR="114300">
                  <wp:extent cx="2387600" cy="2239010"/>
                  <wp:effectExtent l="0" t="0" r="12700" b="8890"/>
                  <wp:docPr id="5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74"/>
                          <pic:cNvPicPr>
                            <a:picLocks noChangeAspect="1"/>
                          </pic:cNvPicPr>
                        </pic:nvPicPr>
                        <pic:blipFill>
                          <a:blip r:embed="rId57"/>
                          <a:stretch>
                            <a:fillRect/>
                          </a:stretch>
                        </pic:blipFill>
                        <pic:spPr>
                          <a:xfrm>
                            <a:off x="0" y="0"/>
                            <a:ext cx="2387600" cy="2239010"/>
                          </a:xfrm>
                          <a:prstGeom prst="rect">
                            <a:avLst/>
                          </a:prstGeom>
                          <a:noFill/>
                          <a:ln w="9525">
                            <a:noFill/>
                          </a:ln>
                        </pic:spPr>
                      </pic:pic>
                    </a:graphicData>
                  </a:graphic>
                </wp:inline>
              </w:drawing>
            </w:r>
          </w:p>
          <w:p>
            <w:pPr>
              <w:spacing w:line="240" w:lineRule="auto"/>
              <w:ind w:firstLine="240" w:firstLineChars="100"/>
              <w:jc w:val="left"/>
              <w:rPr>
                <w:szCs w:val="24"/>
              </w:rPr>
            </w:pPr>
            <w:r>
              <w:rPr>
                <w:szCs w:val="24"/>
              </w:rPr>
              <w:t>e.</w:t>
            </w:r>
            <w:r>
              <w:rPr>
                <w:rFonts w:hint="eastAsia"/>
                <w:szCs w:val="24"/>
              </w:rPr>
              <w:t>五干渠中游凯发新泉水务排水口</w:t>
            </w:r>
          </w:p>
        </w:tc>
      </w:tr>
    </w:tbl>
    <w:p>
      <w:pPr>
        <w:spacing w:line="240" w:lineRule="auto"/>
        <w:ind w:firstLine="0" w:firstLineChars="0"/>
        <w:jc w:val="center"/>
        <w:rPr>
          <w:b/>
          <w:szCs w:val="24"/>
        </w:rPr>
      </w:pPr>
      <w:r>
        <w:rPr>
          <w:rFonts w:hint="eastAsia"/>
          <w:b/>
          <w:szCs w:val="24"/>
        </w:rPr>
        <w:t>图</w:t>
      </w:r>
      <w:r>
        <w:rPr>
          <w:b/>
          <w:szCs w:val="24"/>
        </w:rPr>
        <w:t>3</w:t>
      </w:r>
      <w:r>
        <w:rPr>
          <w:szCs w:val="24"/>
        </w:rPr>
        <w:t>-</w:t>
      </w:r>
      <w:r>
        <w:rPr>
          <w:b/>
          <w:szCs w:val="24"/>
        </w:rPr>
        <w:t>4</w:t>
      </w:r>
      <w:r>
        <w:rPr>
          <w:rFonts w:hint="eastAsia"/>
          <w:b/>
          <w:szCs w:val="24"/>
        </w:rPr>
        <w:t>　环城水系现场状况</w:t>
      </w:r>
    </w:p>
    <w:p>
      <w:pPr>
        <w:pStyle w:val="4"/>
        <w:spacing w:line="590" w:lineRule="exact"/>
        <w:ind w:firstLine="643"/>
      </w:pPr>
      <w:bookmarkStart w:id="90" w:name="_Toc21613506"/>
      <w:r>
        <w:t>3.3.2</w:t>
      </w:r>
      <w:r>
        <w:rPr>
          <w:rFonts w:hint="eastAsia"/>
        </w:rPr>
        <w:t>当前水质超标风险分析</w:t>
      </w:r>
      <w:bookmarkEnd w:id="90"/>
    </w:p>
    <w:p>
      <w:pPr>
        <w:spacing w:line="590" w:lineRule="exact"/>
        <w:ind w:firstLine="640"/>
        <w:rPr>
          <w:rFonts w:eastAsia="仿宋_GB2312" w:cs="Times New Roman"/>
          <w:sz w:val="32"/>
          <w:szCs w:val="32"/>
        </w:rPr>
      </w:pPr>
      <w:r>
        <w:rPr>
          <w:rFonts w:eastAsia="仿宋_GB2312" w:cs="Times New Roman"/>
          <w:sz w:val="32"/>
          <w:szCs w:val="32"/>
        </w:rPr>
        <w:t>根据近几年龙河大王务断面水质分析，水质改善明显，从2016、2017年的劣V类到2018年的Ⅳ类。以2018年水质现状来看，水质波动较大，水质从劣V类到Ⅲ类，从各水质指标看，化学需氧量、总磷波动较大，化学需氧量浓度范围为15</w:t>
      </w:r>
      <w:r>
        <w:rPr>
          <w:rFonts w:hint="eastAsia" w:eastAsia="仿宋_GB2312" w:cs="Times New Roman"/>
          <w:sz w:val="32"/>
          <w:szCs w:val="32"/>
        </w:rPr>
        <w:t>~</w:t>
      </w:r>
      <w:r>
        <w:rPr>
          <w:rFonts w:eastAsia="仿宋_GB2312" w:cs="Times New Roman"/>
          <w:sz w:val="32"/>
          <w:szCs w:val="32"/>
        </w:rPr>
        <w:t>49mg/L，总磷浓度范围为0.04</w:t>
      </w:r>
      <w:r>
        <w:rPr>
          <w:rFonts w:hint="eastAsia" w:eastAsia="仿宋_GB2312" w:cs="Times New Roman"/>
          <w:sz w:val="32"/>
          <w:szCs w:val="32"/>
        </w:rPr>
        <w:t>~</w:t>
      </w:r>
      <w:r>
        <w:rPr>
          <w:rFonts w:eastAsia="仿宋_GB2312" w:cs="Times New Roman"/>
          <w:sz w:val="32"/>
          <w:szCs w:val="32"/>
        </w:rPr>
        <w:t>0.14mg/L。2018年大王务断面水质波动大，污染物浓度高的月份出现频率较高，如果未来继续保持此种规律，对断面年均值稳定达标存在一定风险。</w:t>
      </w:r>
    </w:p>
    <w:p>
      <w:pPr>
        <w:pStyle w:val="2"/>
        <w:spacing w:line="590" w:lineRule="exact"/>
        <w:ind w:firstLine="640"/>
      </w:pPr>
      <w:bookmarkStart w:id="91" w:name="_Toc21613507"/>
      <w:r>
        <w:rPr>
          <w:rFonts w:hint="eastAsia"/>
        </w:rPr>
        <w:t>四、污染源状况解析</w:t>
      </w:r>
      <w:bookmarkEnd w:id="91"/>
    </w:p>
    <w:p>
      <w:pPr>
        <w:pStyle w:val="3"/>
        <w:ind w:firstLine="643"/>
        <w:rPr>
          <w:rFonts w:eastAsia="楷体_GB2312"/>
        </w:rPr>
      </w:pPr>
      <w:bookmarkStart w:id="92" w:name="_Toc11725"/>
      <w:bookmarkStart w:id="93" w:name="_Toc10364"/>
      <w:bookmarkStart w:id="94" w:name="_Toc21197"/>
      <w:bookmarkStart w:id="95" w:name="_Toc21501"/>
      <w:bookmarkStart w:id="96" w:name="_Toc21613508"/>
      <w:r>
        <w:rPr>
          <w:rFonts w:eastAsia="楷体_GB2312"/>
        </w:rPr>
        <w:t>4.1</w:t>
      </w:r>
      <w:r>
        <w:rPr>
          <w:rFonts w:hint="eastAsia" w:eastAsia="楷体_GB2312"/>
        </w:rPr>
        <w:t>工业污染</w:t>
      </w:r>
      <w:bookmarkEnd w:id="92"/>
      <w:bookmarkEnd w:id="93"/>
      <w:bookmarkEnd w:id="94"/>
      <w:bookmarkEnd w:id="95"/>
      <w:r>
        <w:rPr>
          <w:rFonts w:hint="eastAsia" w:eastAsia="楷体_GB2312"/>
        </w:rPr>
        <w:t>源</w:t>
      </w:r>
      <w:bookmarkEnd w:id="96"/>
    </w:p>
    <w:p>
      <w:pPr>
        <w:spacing w:line="590" w:lineRule="exact"/>
        <w:ind w:firstLine="640"/>
        <w:rPr>
          <w:rFonts w:eastAsia="仿宋_GB2312" w:cs="Times New Roman"/>
          <w:sz w:val="32"/>
          <w:szCs w:val="32"/>
        </w:rPr>
      </w:pPr>
      <w:bookmarkStart w:id="97" w:name="_Toc10204"/>
      <w:bookmarkStart w:id="98" w:name="_Toc2251"/>
      <w:bookmarkStart w:id="99" w:name="_Toc32314"/>
      <w:bookmarkStart w:id="100" w:name="_Toc21281"/>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年环境统计数据，涉及到龙河及环城水系研究范围内共有</w:t>
      </w:r>
      <w:r>
        <w:rPr>
          <w:rFonts w:eastAsia="仿宋_GB2312" w:cs="Times New Roman"/>
          <w:sz w:val="32"/>
          <w:szCs w:val="32"/>
        </w:rPr>
        <w:t>98</w:t>
      </w:r>
      <w:r>
        <w:rPr>
          <w:rFonts w:hint="eastAsia" w:eastAsia="仿宋_GB2312" w:cs="Times New Roman"/>
          <w:sz w:val="32"/>
          <w:szCs w:val="32"/>
        </w:rPr>
        <w:t>家工业企业，安次区</w:t>
      </w:r>
      <w:r>
        <w:rPr>
          <w:rFonts w:eastAsia="仿宋_GB2312" w:cs="Times New Roman"/>
          <w:sz w:val="32"/>
          <w:szCs w:val="32"/>
        </w:rPr>
        <w:t>25</w:t>
      </w:r>
      <w:r>
        <w:rPr>
          <w:rFonts w:hint="eastAsia" w:eastAsia="仿宋_GB2312" w:cs="Times New Roman"/>
          <w:sz w:val="32"/>
          <w:szCs w:val="32"/>
        </w:rPr>
        <w:t>家，广阳区</w:t>
      </w:r>
      <w:r>
        <w:rPr>
          <w:rFonts w:eastAsia="仿宋_GB2312" w:cs="Times New Roman"/>
          <w:sz w:val="32"/>
          <w:szCs w:val="32"/>
        </w:rPr>
        <w:t>23</w:t>
      </w:r>
      <w:r>
        <w:rPr>
          <w:rFonts w:hint="eastAsia" w:eastAsia="仿宋_GB2312" w:cs="Times New Roman"/>
          <w:sz w:val="32"/>
          <w:szCs w:val="32"/>
        </w:rPr>
        <w:t>家，廊坊开发区</w:t>
      </w:r>
      <w:r>
        <w:rPr>
          <w:rFonts w:eastAsia="仿宋_GB2312" w:cs="Times New Roman"/>
          <w:sz w:val="32"/>
          <w:szCs w:val="32"/>
        </w:rPr>
        <w:t>50</w:t>
      </w:r>
      <w:r>
        <w:rPr>
          <w:rFonts w:hint="eastAsia" w:eastAsia="仿宋_GB2312" w:cs="Times New Roman"/>
          <w:sz w:val="32"/>
          <w:szCs w:val="32"/>
        </w:rPr>
        <w:t>家。共排放工业废水</w:t>
      </w:r>
      <w:r>
        <w:rPr>
          <w:rFonts w:eastAsia="仿宋_GB2312" w:cs="Times New Roman"/>
          <w:sz w:val="32"/>
          <w:szCs w:val="32"/>
        </w:rPr>
        <w:t>427.01</w:t>
      </w:r>
      <w:r>
        <w:rPr>
          <w:rFonts w:hint="eastAsia" w:eastAsia="仿宋_GB2312" w:cs="Times New Roman"/>
          <w:sz w:val="32"/>
          <w:szCs w:val="32"/>
        </w:rPr>
        <w:t>万吨，产生化学需氧量</w:t>
      </w:r>
      <w:r>
        <w:rPr>
          <w:rFonts w:eastAsia="仿宋_GB2312" w:cs="Times New Roman"/>
          <w:sz w:val="32"/>
          <w:szCs w:val="32"/>
        </w:rPr>
        <w:t>14338</w:t>
      </w:r>
      <w:r>
        <w:rPr>
          <w:rFonts w:hint="eastAsia" w:eastAsia="仿宋_GB2312" w:cs="Times New Roman"/>
          <w:sz w:val="32"/>
          <w:szCs w:val="32"/>
        </w:rPr>
        <w:t>吨、氨氮</w:t>
      </w:r>
      <w:r>
        <w:rPr>
          <w:rFonts w:eastAsia="仿宋_GB2312" w:cs="Times New Roman"/>
          <w:sz w:val="32"/>
          <w:szCs w:val="32"/>
        </w:rPr>
        <w:t>1260.49</w:t>
      </w:r>
      <w:r>
        <w:rPr>
          <w:rFonts w:hint="eastAsia" w:eastAsia="仿宋_GB2312" w:cs="Times New Roman"/>
          <w:sz w:val="32"/>
          <w:szCs w:val="32"/>
        </w:rPr>
        <w:t>吨，排放化学需氧量</w:t>
      </w:r>
      <w:r>
        <w:rPr>
          <w:rFonts w:eastAsia="仿宋_GB2312" w:cs="Times New Roman"/>
          <w:sz w:val="32"/>
          <w:szCs w:val="32"/>
        </w:rPr>
        <w:t>263.01</w:t>
      </w:r>
      <w:r>
        <w:rPr>
          <w:rFonts w:hint="eastAsia" w:eastAsia="仿宋_GB2312" w:cs="Times New Roman"/>
          <w:sz w:val="32"/>
          <w:szCs w:val="32"/>
        </w:rPr>
        <w:t>吨、氨氮</w:t>
      </w:r>
      <w:r>
        <w:rPr>
          <w:rFonts w:eastAsia="仿宋_GB2312" w:cs="Times New Roman"/>
          <w:sz w:val="32"/>
          <w:szCs w:val="32"/>
        </w:rPr>
        <w:t>17.54</w:t>
      </w:r>
      <w:r>
        <w:rPr>
          <w:rFonts w:hint="eastAsia" w:eastAsia="仿宋_GB2312" w:cs="Times New Roman"/>
          <w:sz w:val="32"/>
          <w:szCs w:val="32"/>
        </w:rPr>
        <w:t>吨，化学需氧量和氨氮的平均去除效率为</w:t>
      </w:r>
      <w:r>
        <w:rPr>
          <w:rFonts w:eastAsia="仿宋_GB2312" w:cs="Times New Roman"/>
          <w:sz w:val="32"/>
          <w:szCs w:val="32"/>
        </w:rPr>
        <w:t>98.2%</w:t>
      </w:r>
      <w:r>
        <w:rPr>
          <w:rFonts w:hint="eastAsia" w:eastAsia="仿宋_GB2312" w:cs="Times New Roman"/>
          <w:sz w:val="32"/>
          <w:szCs w:val="32"/>
        </w:rPr>
        <w:t>和</w:t>
      </w:r>
      <w:r>
        <w:rPr>
          <w:rFonts w:eastAsia="仿宋_GB2312" w:cs="Times New Roman"/>
          <w:sz w:val="32"/>
          <w:szCs w:val="32"/>
        </w:rPr>
        <w:t>98.6%</w:t>
      </w:r>
      <w:r>
        <w:rPr>
          <w:rFonts w:hint="eastAsia" w:eastAsia="仿宋_GB2312" w:cs="Times New Roman"/>
          <w:sz w:val="32"/>
          <w:szCs w:val="32"/>
        </w:rPr>
        <w:t>。研究区内工业废水排入廊坊凯发新泉水务有限公司、廊坊市龙茂华污水处理厂和廊坊经济技术开发区供水中心的的工业企业共</w:t>
      </w:r>
      <w:r>
        <w:rPr>
          <w:rFonts w:eastAsia="仿宋_GB2312" w:cs="Times New Roman"/>
          <w:sz w:val="32"/>
          <w:szCs w:val="32"/>
        </w:rPr>
        <w:t>69</w:t>
      </w:r>
      <w:r>
        <w:rPr>
          <w:rFonts w:hint="eastAsia" w:eastAsia="仿宋_GB2312" w:cs="Times New Roman"/>
          <w:sz w:val="32"/>
          <w:szCs w:val="32"/>
        </w:rPr>
        <w:t>家，分别进入的废水量为</w:t>
      </w:r>
      <w:r>
        <w:rPr>
          <w:rFonts w:eastAsia="仿宋_GB2312" w:cs="Times New Roman"/>
          <w:sz w:val="32"/>
          <w:szCs w:val="32"/>
        </w:rPr>
        <w:t>254.49</w:t>
      </w:r>
      <w:r>
        <w:rPr>
          <w:rFonts w:hint="eastAsia" w:eastAsia="仿宋_GB2312" w:cs="Times New Roman"/>
          <w:sz w:val="32"/>
          <w:szCs w:val="32"/>
        </w:rPr>
        <w:t>万吨、</w:t>
      </w:r>
      <w:r>
        <w:rPr>
          <w:rFonts w:eastAsia="仿宋_GB2312" w:cs="Times New Roman"/>
          <w:sz w:val="32"/>
          <w:szCs w:val="32"/>
        </w:rPr>
        <w:t>1547</w:t>
      </w:r>
      <w:r>
        <w:rPr>
          <w:rFonts w:hint="eastAsia" w:eastAsia="仿宋_GB2312" w:cs="Times New Roman"/>
          <w:sz w:val="32"/>
          <w:szCs w:val="32"/>
        </w:rPr>
        <w:t>吨和</w:t>
      </w:r>
      <w:r>
        <w:rPr>
          <w:rFonts w:eastAsia="仿宋_GB2312" w:cs="Times New Roman"/>
          <w:sz w:val="32"/>
          <w:szCs w:val="32"/>
        </w:rPr>
        <w:t>165.64</w:t>
      </w:r>
      <w:r>
        <w:rPr>
          <w:rFonts w:hint="eastAsia" w:eastAsia="仿宋_GB2312" w:cs="Times New Roman"/>
          <w:sz w:val="32"/>
          <w:szCs w:val="32"/>
        </w:rPr>
        <w:t>万吨。</w:t>
      </w:r>
    </w:p>
    <w:p>
      <w:pPr>
        <w:spacing w:line="590" w:lineRule="exact"/>
        <w:ind w:firstLine="640"/>
        <w:rPr>
          <w:rFonts w:eastAsia="仿宋_GB2312" w:cs="Times New Roman"/>
          <w:sz w:val="32"/>
          <w:szCs w:val="32"/>
        </w:rPr>
      </w:pPr>
      <w:r>
        <w:rPr>
          <w:rFonts w:hint="eastAsia" w:eastAsia="仿宋_GB2312" w:cs="Times New Roman"/>
          <w:sz w:val="32"/>
          <w:szCs w:val="32"/>
        </w:rPr>
        <w:t>目前龙河及环城水系所在的广阳区和安次区已建成五个工业园区污水处理厂，分别是广阳经开区污水处理厂（一期）、龙湖污水处理有限公司、龙茂华污水处理厂、廊坊凯发新泉水务有限公司及依托耐迪机电有限公司自行建设的</w:t>
      </w:r>
      <w:r>
        <w:rPr>
          <w:rFonts w:eastAsia="仿宋_GB2312" w:cs="Times New Roman"/>
          <w:sz w:val="32"/>
          <w:szCs w:val="32"/>
        </w:rPr>
        <w:t>480</w:t>
      </w:r>
      <w:r>
        <w:rPr>
          <w:rFonts w:hint="eastAsia" w:eastAsia="仿宋_GB2312" w:cs="Times New Roman"/>
          <w:sz w:val="32"/>
          <w:szCs w:val="32"/>
        </w:rPr>
        <w:t>吨污水处理站，其中廊坊凯发新泉水务有限公司与城镇污水处理厂共用，各污水处理厂的详细信息具体见表</w:t>
      </w:r>
      <w:r>
        <w:rPr>
          <w:rFonts w:eastAsia="仿宋_GB2312" w:cs="Times New Roman"/>
          <w:sz w:val="32"/>
          <w:szCs w:val="32"/>
        </w:rPr>
        <w:t>4</w:t>
      </w:r>
      <w:r>
        <w:rPr>
          <w:rFonts w:hint="eastAsia"/>
          <w:sz w:val="32"/>
          <w:szCs w:val="32"/>
        </w:rPr>
        <w:t>-</w:t>
      </w:r>
      <w:r>
        <w:rPr>
          <w:rFonts w:eastAsia="仿宋_GB2312" w:cs="Times New Roman"/>
          <w:sz w:val="32"/>
          <w:szCs w:val="32"/>
        </w:rPr>
        <w:t>1</w:t>
      </w:r>
      <w:r>
        <w:rPr>
          <w:rFonts w:hint="eastAsia" w:eastAsia="仿宋_GB2312" w:cs="Times New Roman"/>
          <w:sz w:val="32"/>
          <w:szCs w:val="32"/>
        </w:rPr>
        <w:t>。</w:t>
      </w:r>
    </w:p>
    <w:p>
      <w:pPr>
        <w:spacing w:before="222" w:beforeLines="50" w:after="222" w:afterLines="50" w:line="240" w:lineRule="auto"/>
        <w:ind w:firstLine="0" w:firstLineChars="0"/>
        <w:jc w:val="center"/>
        <w:rPr>
          <w:rFonts w:ascii="黑体" w:hAnsi="黑体" w:eastAsia="黑体"/>
          <w:bCs/>
          <w:sz w:val="32"/>
          <w:szCs w:val="32"/>
        </w:rPr>
      </w:pPr>
      <w:r>
        <w:rPr>
          <w:rFonts w:hint="eastAsia" w:ascii="黑体" w:hAnsi="黑体" w:eastAsia="黑体"/>
          <w:bCs/>
          <w:sz w:val="32"/>
          <w:szCs w:val="32"/>
        </w:rPr>
        <w:t>表</w:t>
      </w:r>
      <w:r>
        <w:rPr>
          <w:rFonts w:ascii="黑体" w:hAnsi="黑体" w:eastAsia="黑体"/>
          <w:bCs/>
          <w:sz w:val="32"/>
          <w:szCs w:val="32"/>
        </w:rPr>
        <w:t>4</w:t>
      </w:r>
      <w:r>
        <w:rPr>
          <w:sz w:val="32"/>
          <w:szCs w:val="32"/>
        </w:rPr>
        <w:t>-</w:t>
      </w:r>
      <w:r>
        <w:rPr>
          <w:rFonts w:ascii="黑体" w:hAnsi="黑体" w:eastAsia="黑体"/>
          <w:bCs/>
          <w:sz w:val="32"/>
          <w:szCs w:val="32"/>
        </w:rPr>
        <w:t xml:space="preserve">1  </w:t>
      </w:r>
      <w:r>
        <w:rPr>
          <w:rFonts w:hint="eastAsia" w:ascii="黑体" w:hAnsi="黑体" w:eastAsia="黑体"/>
          <w:bCs/>
          <w:sz w:val="32"/>
          <w:szCs w:val="32"/>
        </w:rPr>
        <w:t>龙河及环城水系工业污染源污水处理厂信息</w:t>
      </w:r>
    </w:p>
    <w:tbl>
      <w:tblPr>
        <w:tblStyle w:val="11"/>
        <w:tblW w:w="8898" w:type="dxa"/>
        <w:jc w:val="center"/>
        <w:tblInd w:w="83" w:type="dxa"/>
        <w:tblLayout w:type="fixed"/>
        <w:tblCellMar>
          <w:top w:w="0" w:type="dxa"/>
          <w:left w:w="108" w:type="dxa"/>
          <w:bottom w:w="0" w:type="dxa"/>
          <w:right w:w="108" w:type="dxa"/>
        </w:tblCellMar>
      </w:tblPr>
      <w:tblGrid>
        <w:gridCol w:w="1218"/>
        <w:gridCol w:w="2146"/>
        <w:gridCol w:w="2547"/>
        <w:gridCol w:w="1293"/>
        <w:gridCol w:w="1694"/>
      </w:tblGrid>
      <w:tr>
        <w:tblPrEx>
          <w:tblLayout w:type="fixed"/>
          <w:tblCellMar>
            <w:top w:w="0" w:type="dxa"/>
            <w:left w:w="108" w:type="dxa"/>
            <w:bottom w:w="0" w:type="dxa"/>
            <w:right w:w="108" w:type="dxa"/>
          </w:tblCellMar>
        </w:tblPrEx>
        <w:trPr>
          <w:trHeight w:val="720" w:hRule="atLeast"/>
          <w:jc w:val="center"/>
        </w:trPr>
        <w:tc>
          <w:tcPr>
            <w:tcW w:w="3364"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集聚区名称</w:t>
            </w:r>
          </w:p>
        </w:tc>
        <w:tc>
          <w:tcPr>
            <w:tcW w:w="2547"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污水集中处理设施名称</w:t>
            </w:r>
          </w:p>
        </w:tc>
        <w:tc>
          <w:tcPr>
            <w:tcW w:w="1293" w:type="dxa"/>
            <w:tcBorders>
              <w:top w:val="single" w:color="auto" w:sz="4" w:space="0"/>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处理规模（万吨/日）</w:t>
            </w:r>
          </w:p>
        </w:tc>
        <w:tc>
          <w:tcPr>
            <w:tcW w:w="1694" w:type="dxa"/>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备注</w:t>
            </w:r>
          </w:p>
        </w:tc>
      </w:tr>
      <w:tr>
        <w:tblPrEx>
          <w:tblLayout w:type="fixed"/>
          <w:tblCellMar>
            <w:top w:w="0" w:type="dxa"/>
            <w:left w:w="108" w:type="dxa"/>
            <w:bottom w:w="0" w:type="dxa"/>
            <w:right w:w="108" w:type="dxa"/>
          </w:tblCellMar>
        </w:tblPrEx>
        <w:trPr>
          <w:trHeight w:val="720" w:hRule="atLeast"/>
          <w:jc w:val="center"/>
        </w:trPr>
        <w:tc>
          <w:tcPr>
            <w:tcW w:w="3364" w:type="dxa"/>
            <w:gridSpan w:val="2"/>
            <w:tcBorders>
              <w:top w:val="single" w:color="auto" w:sz="4" w:space="0"/>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河北广阳经济开发区</w:t>
            </w:r>
          </w:p>
        </w:tc>
        <w:tc>
          <w:tcPr>
            <w:tcW w:w="254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广阳经开区污水处理厂（一期）</w:t>
            </w:r>
          </w:p>
        </w:tc>
        <w:tc>
          <w:tcPr>
            <w:tcW w:w="129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0.1</w:t>
            </w:r>
          </w:p>
        </w:tc>
        <w:tc>
          <w:tcPr>
            <w:tcW w:w="1694" w:type="dxa"/>
            <w:tcBorders>
              <w:top w:val="nil"/>
              <w:left w:val="single" w:color="auto" w:sz="4" w:space="0"/>
              <w:bottom w:val="single" w:color="auto" w:sz="4" w:space="0"/>
              <w:right w:val="single" w:color="auto" w:sz="4" w:space="0"/>
            </w:tcBorders>
            <w:vAlign w:val="bottom"/>
          </w:tcPr>
          <w:p>
            <w:pPr>
              <w:widowControl/>
              <w:spacing w:line="240" w:lineRule="auto"/>
              <w:ind w:firstLine="0" w:firstLineChars="0"/>
              <w:jc w:val="left"/>
              <w:rPr>
                <w:rFonts w:eastAsia="仿宋_GB2312" w:cs="Times New Roman"/>
                <w:color w:val="000000"/>
                <w:kern w:val="0"/>
                <w:sz w:val="21"/>
                <w:szCs w:val="21"/>
              </w:rPr>
            </w:pPr>
          </w:p>
        </w:tc>
      </w:tr>
      <w:tr>
        <w:tblPrEx>
          <w:tblLayout w:type="fixed"/>
          <w:tblCellMar>
            <w:top w:w="0" w:type="dxa"/>
            <w:left w:w="108" w:type="dxa"/>
            <w:bottom w:w="0" w:type="dxa"/>
            <w:right w:w="108" w:type="dxa"/>
          </w:tblCellMar>
        </w:tblPrEx>
        <w:trPr>
          <w:trHeight w:val="480" w:hRule="atLeast"/>
          <w:jc w:val="center"/>
        </w:trPr>
        <w:tc>
          <w:tcPr>
            <w:tcW w:w="121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河北廊坊高新技术产业开发区</w:t>
            </w:r>
          </w:p>
        </w:tc>
        <w:tc>
          <w:tcPr>
            <w:tcW w:w="214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廊坊高新技术产业园</w:t>
            </w:r>
          </w:p>
        </w:tc>
        <w:tc>
          <w:tcPr>
            <w:tcW w:w="254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龙湖污水处理有限公司</w:t>
            </w:r>
          </w:p>
        </w:tc>
        <w:tc>
          <w:tcPr>
            <w:tcW w:w="129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1694" w:type="dxa"/>
            <w:tcBorders>
              <w:top w:val="nil"/>
              <w:left w:val="single" w:color="auto" w:sz="4" w:space="0"/>
              <w:bottom w:val="single" w:color="auto" w:sz="4" w:space="0"/>
              <w:right w:val="single" w:color="auto" w:sz="4" w:space="0"/>
            </w:tcBorders>
            <w:vAlign w:val="bottom"/>
          </w:tcPr>
          <w:p>
            <w:pPr>
              <w:widowControl/>
              <w:spacing w:line="240" w:lineRule="auto"/>
              <w:ind w:firstLine="0" w:firstLineChars="0"/>
              <w:jc w:val="left"/>
              <w:rPr>
                <w:rFonts w:eastAsia="仿宋_GB2312" w:cs="Times New Roman"/>
                <w:color w:val="000000"/>
                <w:kern w:val="0"/>
                <w:sz w:val="21"/>
                <w:szCs w:val="21"/>
              </w:rPr>
            </w:pPr>
          </w:p>
        </w:tc>
      </w:tr>
      <w:tr>
        <w:tblPrEx>
          <w:tblLayout w:type="fixed"/>
          <w:tblCellMar>
            <w:top w:w="0" w:type="dxa"/>
            <w:left w:w="108" w:type="dxa"/>
            <w:bottom w:w="0" w:type="dxa"/>
            <w:right w:w="108" w:type="dxa"/>
          </w:tblCellMar>
        </w:tblPrEx>
        <w:trPr>
          <w:trHeight w:val="480" w:hRule="atLeast"/>
          <w:jc w:val="center"/>
        </w:trPr>
        <w:tc>
          <w:tcPr>
            <w:tcW w:w="12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color w:val="000000"/>
                <w:kern w:val="0"/>
                <w:sz w:val="21"/>
                <w:szCs w:val="21"/>
              </w:rPr>
            </w:pPr>
          </w:p>
        </w:tc>
        <w:tc>
          <w:tcPr>
            <w:tcW w:w="214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安次高新技术产业园</w:t>
            </w:r>
          </w:p>
        </w:tc>
        <w:tc>
          <w:tcPr>
            <w:tcW w:w="254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龙茂华污水处理厂</w:t>
            </w:r>
          </w:p>
        </w:tc>
        <w:tc>
          <w:tcPr>
            <w:tcW w:w="129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1694" w:type="dxa"/>
            <w:tcBorders>
              <w:top w:val="nil"/>
              <w:left w:val="single" w:color="auto" w:sz="4" w:space="0"/>
              <w:bottom w:val="single" w:color="auto" w:sz="4" w:space="0"/>
              <w:right w:val="single" w:color="auto" w:sz="4" w:space="0"/>
            </w:tcBorders>
            <w:vAlign w:val="bottom"/>
          </w:tcPr>
          <w:p>
            <w:pPr>
              <w:widowControl/>
              <w:spacing w:line="240" w:lineRule="auto"/>
              <w:ind w:firstLine="0" w:firstLineChars="0"/>
              <w:jc w:val="left"/>
              <w:rPr>
                <w:rFonts w:eastAsia="仿宋_GB2312" w:cs="Times New Roman"/>
                <w:color w:val="000000"/>
                <w:kern w:val="0"/>
                <w:sz w:val="21"/>
                <w:szCs w:val="21"/>
              </w:rPr>
            </w:pPr>
          </w:p>
        </w:tc>
      </w:tr>
      <w:tr>
        <w:tblPrEx>
          <w:tblLayout w:type="fixed"/>
          <w:tblCellMar>
            <w:top w:w="0" w:type="dxa"/>
            <w:left w:w="108" w:type="dxa"/>
            <w:bottom w:w="0" w:type="dxa"/>
            <w:right w:w="108" w:type="dxa"/>
          </w:tblCellMar>
        </w:tblPrEx>
        <w:trPr>
          <w:trHeight w:val="720" w:hRule="atLeast"/>
          <w:jc w:val="center"/>
        </w:trPr>
        <w:tc>
          <w:tcPr>
            <w:tcW w:w="1218" w:type="dxa"/>
            <w:vMerge w:val="restart"/>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河北廊坊龙河高新技术产业开发区</w:t>
            </w:r>
          </w:p>
        </w:tc>
        <w:tc>
          <w:tcPr>
            <w:tcW w:w="214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龙河高新技术产业园</w:t>
            </w:r>
          </w:p>
        </w:tc>
        <w:tc>
          <w:tcPr>
            <w:tcW w:w="2547"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廊坊凯发新泉水务有限公司</w:t>
            </w:r>
          </w:p>
        </w:tc>
        <w:tc>
          <w:tcPr>
            <w:tcW w:w="1293"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w:t>
            </w:r>
          </w:p>
        </w:tc>
        <w:tc>
          <w:tcPr>
            <w:tcW w:w="1694" w:type="dxa"/>
            <w:tcBorders>
              <w:top w:val="nil"/>
              <w:left w:val="single" w:color="auto" w:sz="4" w:space="0"/>
              <w:bottom w:val="single" w:color="auto" w:sz="4" w:space="0"/>
              <w:right w:val="single" w:color="auto" w:sz="4" w:space="0"/>
            </w:tcBorders>
            <w:vAlign w:val="center"/>
          </w:tcPr>
          <w:p>
            <w:pPr>
              <w:widowControl/>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与城镇污水处理厂共用，2018年扩建6万吨/日，共14万吨/日</w:t>
            </w:r>
          </w:p>
        </w:tc>
      </w:tr>
      <w:tr>
        <w:tblPrEx>
          <w:tblLayout w:type="fixed"/>
          <w:tblCellMar>
            <w:top w:w="0" w:type="dxa"/>
            <w:left w:w="108" w:type="dxa"/>
            <w:bottom w:w="0" w:type="dxa"/>
            <w:right w:w="108" w:type="dxa"/>
          </w:tblCellMar>
        </w:tblPrEx>
        <w:trPr>
          <w:trHeight w:val="480" w:hRule="atLeast"/>
          <w:jc w:val="center"/>
        </w:trPr>
        <w:tc>
          <w:tcPr>
            <w:tcW w:w="1218" w:type="dxa"/>
            <w:vMerge w:val="continue"/>
            <w:tcBorders>
              <w:top w:val="nil"/>
              <w:left w:val="single" w:color="auto" w:sz="4" w:space="0"/>
              <w:bottom w:val="single" w:color="auto" w:sz="4" w:space="0"/>
              <w:right w:val="single" w:color="auto" w:sz="4" w:space="0"/>
            </w:tcBorders>
            <w:vAlign w:val="center"/>
          </w:tcPr>
          <w:p>
            <w:pPr>
              <w:widowControl/>
              <w:spacing w:line="240" w:lineRule="auto"/>
              <w:ind w:firstLine="0" w:firstLineChars="0"/>
              <w:jc w:val="left"/>
              <w:rPr>
                <w:rFonts w:eastAsia="仿宋_GB2312" w:cs="Times New Roman"/>
                <w:color w:val="000000"/>
                <w:kern w:val="0"/>
                <w:sz w:val="21"/>
                <w:szCs w:val="21"/>
              </w:rPr>
            </w:pPr>
          </w:p>
        </w:tc>
        <w:tc>
          <w:tcPr>
            <w:tcW w:w="2146" w:type="dxa"/>
            <w:tcBorders>
              <w:top w:val="nil"/>
              <w:left w:val="nil"/>
              <w:bottom w:val="single" w:color="auto" w:sz="4" w:space="0"/>
              <w:right w:val="single" w:color="auto" w:sz="4" w:space="0"/>
            </w:tcBorders>
            <w:vAlign w:val="center"/>
          </w:tcPr>
          <w:p>
            <w:pPr>
              <w:widowControl/>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龙港高新技术产业园</w:t>
            </w:r>
          </w:p>
        </w:tc>
        <w:tc>
          <w:tcPr>
            <w:tcW w:w="3840" w:type="dxa"/>
            <w:gridSpan w:val="2"/>
            <w:tcBorders>
              <w:top w:val="single" w:color="auto" w:sz="4" w:space="0"/>
              <w:left w:val="nil"/>
              <w:bottom w:val="single" w:color="auto" w:sz="4" w:space="0"/>
              <w:right w:val="nil"/>
            </w:tcBorders>
            <w:vAlign w:val="center"/>
          </w:tcPr>
          <w:p>
            <w:pPr>
              <w:widowControl/>
              <w:spacing w:line="240" w:lineRule="auto"/>
              <w:ind w:firstLine="0" w:firstLineChars="0"/>
              <w:jc w:val="left"/>
              <w:rPr>
                <w:rFonts w:eastAsia="仿宋_GB2312" w:cs="Times New Roman"/>
                <w:kern w:val="0"/>
                <w:sz w:val="21"/>
                <w:szCs w:val="21"/>
              </w:rPr>
            </w:pPr>
            <w:r>
              <w:rPr>
                <w:rFonts w:eastAsia="仿宋_GB2312" w:cs="Times New Roman"/>
                <w:kern w:val="0"/>
                <w:sz w:val="21"/>
                <w:szCs w:val="21"/>
              </w:rPr>
              <w:t>依托企业耐迪机电有限公司自行建设480吨污水处理站。</w:t>
            </w:r>
          </w:p>
        </w:tc>
        <w:tc>
          <w:tcPr>
            <w:tcW w:w="1694" w:type="dxa"/>
            <w:tcBorders>
              <w:top w:val="nil"/>
              <w:left w:val="single" w:color="auto" w:sz="4" w:space="0"/>
              <w:bottom w:val="single" w:color="auto" w:sz="4" w:space="0"/>
              <w:right w:val="single" w:color="auto" w:sz="4" w:space="0"/>
            </w:tcBorders>
            <w:vAlign w:val="bottom"/>
          </w:tcPr>
          <w:p>
            <w:pPr>
              <w:widowControl/>
              <w:spacing w:line="240" w:lineRule="auto"/>
              <w:ind w:firstLine="0" w:firstLineChars="0"/>
              <w:jc w:val="left"/>
              <w:rPr>
                <w:rFonts w:eastAsia="仿宋_GB2312" w:cs="Times New Roman"/>
                <w:color w:val="000000"/>
                <w:kern w:val="0"/>
                <w:sz w:val="21"/>
                <w:szCs w:val="21"/>
              </w:rPr>
            </w:pPr>
          </w:p>
        </w:tc>
      </w:tr>
    </w:tbl>
    <w:p>
      <w:pPr>
        <w:spacing w:line="584" w:lineRule="exact"/>
        <w:ind w:firstLine="640"/>
        <w:rPr>
          <w:rFonts w:eastAsia="仿宋_GB2312" w:cs="Times New Roman"/>
          <w:sz w:val="32"/>
          <w:szCs w:val="32"/>
        </w:rPr>
      </w:pPr>
      <w:r>
        <w:rPr>
          <w:rFonts w:eastAsia="仿宋_GB2312" w:cs="Times New Roman"/>
          <w:sz w:val="32"/>
          <w:szCs w:val="32"/>
        </w:rPr>
        <w:t>2018</w:t>
      </w:r>
      <w:r>
        <w:rPr>
          <w:rFonts w:hint="eastAsia" w:eastAsia="仿宋_GB2312" w:cs="Times New Roman"/>
          <w:sz w:val="32"/>
          <w:szCs w:val="32"/>
        </w:rPr>
        <w:t>年廊坊市安次区和广阳区共排查整治</w:t>
      </w:r>
      <w:r>
        <w:rPr>
          <w:rFonts w:eastAsia="仿宋_GB2312" w:cs="Times New Roman"/>
          <w:sz w:val="32"/>
          <w:szCs w:val="32"/>
        </w:rPr>
        <w:t>“</w:t>
      </w:r>
      <w:r>
        <w:rPr>
          <w:rFonts w:hint="eastAsia" w:eastAsia="仿宋_GB2312" w:cs="Times New Roman"/>
          <w:sz w:val="32"/>
          <w:szCs w:val="32"/>
        </w:rPr>
        <w:t>散乱污</w:t>
      </w:r>
      <w:r>
        <w:rPr>
          <w:rFonts w:eastAsia="仿宋_GB2312" w:cs="Times New Roman"/>
          <w:sz w:val="32"/>
          <w:szCs w:val="32"/>
        </w:rPr>
        <w:t>”</w:t>
      </w:r>
      <w:r>
        <w:rPr>
          <w:rFonts w:hint="eastAsia" w:eastAsia="仿宋_GB2312" w:cs="Times New Roman"/>
          <w:sz w:val="32"/>
          <w:szCs w:val="32"/>
        </w:rPr>
        <w:t>企业</w:t>
      </w:r>
      <w:r>
        <w:rPr>
          <w:rFonts w:eastAsia="仿宋_GB2312" w:cs="Times New Roman"/>
          <w:sz w:val="32"/>
          <w:szCs w:val="32"/>
        </w:rPr>
        <w:t>68</w:t>
      </w:r>
      <w:r>
        <w:rPr>
          <w:rFonts w:hint="eastAsia" w:eastAsia="仿宋_GB2312" w:cs="Times New Roman"/>
          <w:sz w:val="32"/>
          <w:szCs w:val="32"/>
        </w:rPr>
        <w:t>家，其中包括安次区</w:t>
      </w:r>
      <w:r>
        <w:rPr>
          <w:rFonts w:eastAsia="仿宋_GB2312" w:cs="Times New Roman"/>
          <w:sz w:val="32"/>
          <w:szCs w:val="32"/>
        </w:rPr>
        <w:t>38</w:t>
      </w:r>
      <w:r>
        <w:rPr>
          <w:rFonts w:hint="eastAsia" w:eastAsia="仿宋_GB2312" w:cs="Times New Roman"/>
          <w:sz w:val="32"/>
          <w:szCs w:val="32"/>
        </w:rPr>
        <w:t>家和广阳区</w:t>
      </w:r>
      <w:r>
        <w:rPr>
          <w:rFonts w:eastAsia="仿宋_GB2312" w:cs="Times New Roman"/>
          <w:sz w:val="32"/>
          <w:szCs w:val="32"/>
        </w:rPr>
        <w:t>30</w:t>
      </w:r>
      <w:r>
        <w:rPr>
          <w:rFonts w:hint="eastAsia" w:eastAsia="仿宋_GB2312" w:cs="Times New Roman"/>
          <w:sz w:val="32"/>
          <w:szCs w:val="32"/>
        </w:rPr>
        <w:t>家，具体信息见表</w:t>
      </w:r>
      <w:r>
        <w:rPr>
          <w:rFonts w:eastAsia="仿宋_GB2312" w:cs="Times New Roman"/>
          <w:sz w:val="32"/>
          <w:szCs w:val="32"/>
        </w:rPr>
        <w:t>4</w:t>
      </w:r>
      <w:r>
        <w:rPr>
          <w:sz w:val="32"/>
          <w:szCs w:val="32"/>
        </w:rPr>
        <w:t>-</w:t>
      </w:r>
      <w:r>
        <w:rPr>
          <w:rFonts w:eastAsia="仿宋_GB2312" w:cs="Times New Roman"/>
          <w:sz w:val="32"/>
          <w:szCs w:val="32"/>
        </w:rPr>
        <w:t>2</w:t>
      </w:r>
      <w:r>
        <w:rPr>
          <w:rFonts w:hint="eastAsia" w:eastAsia="仿宋_GB2312" w:cs="Times New Roman"/>
          <w:sz w:val="32"/>
          <w:szCs w:val="32"/>
        </w:rPr>
        <w:t>。</w:t>
      </w:r>
    </w:p>
    <w:p>
      <w:pPr>
        <w:spacing w:before="222" w:beforeLines="50" w:after="222" w:afterLines="50" w:line="240" w:lineRule="auto"/>
        <w:ind w:firstLine="0" w:firstLineChars="0"/>
        <w:jc w:val="center"/>
        <w:rPr>
          <w:rFonts w:hint="eastAsia" w:ascii="黑体" w:hAnsi="黑体" w:eastAsia="黑体"/>
          <w:bCs/>
          <w:sz w:val="32"/>
          <w:szCs w:val="32"/>
        </w:rPr>
      </w:pPr>
      <w:r>
        <w:rPr>
          <w:rFonts w:hint="eastAsia" w:ascii="黑体" w:hAnsi="黑体" w:eastAsia="黑体"/>
          <w:bCs/>
          <w:sz w:val="32"/>
          <w:szCs w:val="32"/>
        </w:rPr>
        <w:t>表4</w:t>
      </w:r>
      <w:r>
        <w:rPr>
          <w:sz w:val="32"/>
          <w:szCs w:val="32"/>
        </w:rPr>
        <w:t>-</w:t>
      </w:r>
      <w:r>
        <w:rPr>
          <w:rFonts w:hint="eastAsia" w:ascii="黑体" w:hAnsi="黑体" w:eastAsia="黑体"/>
          <w:bCs/>
          <w:sz w:val="32"/>
          <w:szCs w:val="32"/>
        </w:rPr>
        <w:t>2  安次区和广阳区“散乱污”企业整治情况</w:t>
      </w:r>
    </w:p>
    <w:tbl>
      <w:tblPr>
        <w:tblStyle w:val="11"/>
        <w:tblW w:w="87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9"/>
        <w:gridCol w:w="2179"/>
        <w:gridCol w:w="2179"/>
        <w:gridCol w:w="2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3" w:hRule="atLeast"/>
          <w:jc w:val="center"/>
        </w:trPr>
        <w:tc>
          <w:tcPr>
            <w:tcW w:w="2179" w:type="dxa"/>
            <w:vMerge w:val="restart"/>
            <w:vAlign w:val="center"/>
          </w:tcPr>
          <w:p>
            <w:pPr>
              <w:spacing w:line="240" w:lineRule="auto"/>
              <w:ind w:firstLine="0" w:firstLineChars="0"/>
              <w:jc w:val="center"/>
              <w:rPr>
                <w:rFonts w:eastAsia="仿宋_GB2312" w:cs="Times New Roman"/>
                <w:b/>
                <w:sz w:val="21"/>
                <w:szCs w:val="21"/>
              </w:rPr>
            </w:pPr>
            <w:r>
              <w:rPr>
                <w:rFonts w:eastAsia="仿宋_GB2312" w:cs="Times New Roman"/>
                <w:b/>
                <w:sz w:val="21"/>
                <w:szCs w:val="21"/>
              </w:rPr>
              <w:t>行政区域</w:t>
            </w:r>
          </w:p>
        </w:tc>
        <w:tc>
          <w:tcPr>
            <w:tcW w:w="6538" w:type="dxa"/>
            <w:gridSpan w:val="3"/>
            <w:vAlign w:val="center"/>
          </w:tcPr>
          <w:p>
            <w:pPr>
              <w:spacing w:line="240" w:lineRule="auto"/>
              <w:ind w:firstLine="0" w:firstLineChars="0"/>
              <w:jc w:val="center"/>
              <w:rPr>
                <w:rFonts w:eastAsia="仿宋_GB2312" w:cs="Times New Roman"/>
                <w:b/>
                <w:sz w:val="21"/>
                <w:szCs w:val="21"/>
              </w:rPr>
            </w:pPr>
            <w:r>
              <w:rPr>
                <w:rFonts w:eastAsia="仿宋_GB2312" w:cs="Times New Roman"/>
                <w:b/>
                <w:kern w:val="0"/>
                <w:sz w:val="21"/>
                <w:szCs w:val="21"/>
              </w:rPr>
              <w:t>2018年排查发现“散乱污”企业整治情况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jc w:val="center"/>
        </w:trPr>
        <w:tc>
          <w:tcPr>
            <w:tcW w:w="2179" w:type="dxa"/>
            <w:vMerge w:val="continue"/>
            <w:vAlign w:val="center"/>
          </w:tcPr>
          <w:p>
            <w:pPr>
              <w:spacing w:line="240" w:lineRule="auto"/>
              <w:ind w:firstLine="0" w:firstLineChars="0"/>
              <w:jc w:val="center"/>
              <w:rPr>
                <w:rFonts w:eastAsia="仿宋_GB2312" w:cs="Times New Roman"/>
                <w:b/>
                <w:sz w:val="21"/>
                <w:szCs w:val="21"/>
              </w:rPr>
            </w:pP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b/>
                <w:kern w:val="0"/>
                <w:sz w:val="21"/>
                <w:szCs w:val="21"/>
              </w:rPr>
              <w:t>“散乱污”企业总数</w:t>
            </w: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b/>
                <w:kern w:val="0"/>
                <w:sz w:val="21"/>
                <w:szCs w:val="21"/>
              </w:rPr>
              <w:t>其中：关停取缔</w:t>
            </w:r>
          </w:p>
        </w:tc>
        <w:tc>
          <w:tcPr>
            <w:tcW w:w="2180" w:type="dxa"/>
            <w:vAlign w:val="center"/>
          </w:tcPr>
          <w:p>
            <w:pPr>
              <w:spacing w:line="240" w:lineRule="auto"/>
              <w:ind w:firstLine="0" w:firstLineChars="0"/>
              <w:jc w:val="center"/>
              <w:rPr>
                <w:rFonts w:eastAsia="仿宋_GB2312" w:cs="Times New Roman"/>
                <w:b/>
                <w:sz w:val="21"/>
                <w:szCs w:val="21"/>
              </w:rPr>
            </w:pPr>
            <w:r>
              <w:rPr>
                <w:rFonts w:eastAsia="仿宋_GB2312" w:cs="Times New Roman"/>
                <w:b/>
                <w:kern w:val="0"/>
                <w:sz w:val="21"/>
                <w:szCs w:val="21"/>
              </w:rPr>
              <w:t>其中：提升改造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29" w:hRule="atLeast"/>
          <w:jc w:val="center"/>
        </w:trPr>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安次区</w:t>
            </w: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38</w:t>
            </w: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31</w:t>
            </w:r>
          </w:p>
        </w:tc>
        <w:tc>
          <w:tcPr>
            <w:tcW w:w="2180"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9" w:hRule="atLeast"/>
          <w:jc w:val="center"/>
        </w:trPr>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广阳区</w:t>
            </w: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30</w:t>
            </w:r>
          </w:p>
        </w:tc>
        <w:tc>
          <w:tcPr>
            <w:tcW w:w="2179"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28</w:t>
            </w:r>
          </w:p>
        </w:tc>
        <w:tc>
          <w:tcPr>
            <w:tcW w:w="2180" w:type="dxa"/>
            <w:vAlign w:val="center"/>
          </w:tcPr>
          <w:p>
            <w:pPr>
              <w:spacing w:line="240" w:lineRule="auto"/>
              <w:ind w:firstLine="0" w:firstLineChars="0"/>
              <w:jc w:val="center"/>
              <w:rPr>
                <w:rFonts w:eastAsia="仿宋_GB2312" w:cs="Times New Roman"/>
                <w:b/>
                <w:sz w:val="21"/>
                <w:szCs w:val="21"/>
              </w:rPr>
            </w:pPr>
            <w:r>
              <w:rPr>
                <w:rFonts w:eastAsia="仿宋_GB2312" w:cs="Times New Roman"/>
                <w:kern w:val="0"/>
                <w:sz w:val="21"/>
                <w:szCs w:val="21"/>
              </w:rPr>
              <w:t>2</w:t>
            </w:r>
          </w:p>
        </w:tc>
      </w:tr>
    </w:tbl>
    <w:p>
      <w:pPr>
        <w:pStyle w:val="3"/>
        <w:ind w:firstLine="643"/>
        <w:rPr>
          <w:rFonts w:eastAsia="楷体_GB2312"/>
        </w:rPr>
      </w:pPr>
      <w:bookmarkStart w:id="101" w:name="_Toc21613509"/>
      <w:bookmarkStart w:id="102" w:name="_Toc459303083"/>
      <w:r>
        <w:rPr>
          <w:rFonts w:eastAsia="楷体_GB2312"/>
        </w:rPr>
        <w:t>4.2</w:t>
      </w:r>
      <w:r>
        <w:rPr>
          <w:rFonts w:hint="eastAsia" w:eastAsia="楷体_GB2312"/>
        </w:rPr>
        <w:t>生活污染源</w:t>
      </w:r>
      <w:bookmarkEnd w:id="101"/>
      <w:bookmarkEnd w:id="102"/>
    </w:p>
    <w:p>
      <w:pPr>
        <w:spacing w:line="584" w:lineRule="exact"/>
        <w:ind w:firstLine="640"/>
        <w:rPr>
          <w:rFonts w:eastAsia="仿宋_GB2312" w:cs="Times New Roman"/>
          <w:sz w:val="32"/>
          <w:szCs w:val="32"/>
        </w:rPr>
      </w:pPr>
      <w:r>
        <w:rPr>
          <w:rFonts w:hint="eastAsia" w:eastAsia="仿宋_GB2312" w:cs="Times New Roman"/>
          <w:sz w:val="32"/>
          <w:szCs w:val="32"/>
        </w:rPr>
        <w:t>根据《廊坊经济统计年鉴（</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2017</w:t>
      </w:r>
      <w:r>
        <w:rPr>
          <w:rFonts w:hint="eastAsia" w:eastAsia="仿宋_GB2312" w:cs="Times New Roman"/>
          <w:sz w:val="32"/>
          <w:szCs w:val="32"/>
        </w:rPr>
        <w:t>年底，研究区范围内共有人口</w:t>
      </w:r>
      <w:r>
        <w:rPr>
          <w:rFonts w:eastAsia="仿宋_GB2312" w:cs="Times New Roman"/>
          <w:sz w:val="32"/>
          <w:szCs w:val="32"/>
        </w:rPr>
        <w:t>86.2</w:t>
      </w:r>
      <w:r>
        <w:rPr>
          <w:rFonts w:hint="eastAsia" w:eastAsia="仿宋_GB2312" w:cs="Times New Roman"/>
          <w:sz w:val="32"/>
          <w:szCs w:val="32"/>
        </w:rPr>
        <w:t>万人，其中农业人口</w:t>
      </w:r>
      <w:r>
        <w:rPr>
          <w:rFonts w:eastAsia="仿宋_GB2312" w:cs="Times New Roman"/>
          <w:sz w:val="32"/>
          <w:szCs w:val="32"/>
        </w:rPr>
        <w:t>43.55</w:t>
      </w:r>
      <w:r>
        <w:rPr>
          <w:rFonts w:hint="eastAsia" w:eastAsia="仿宋_GB2312" w:cs="Times New Roman"/>
          <w:sz w:val="32"/>
          <w:szCs w:val="32"/>
        </w:rPr>
        <w:t>万人、非农业人口</w:t>
      </w:r>
      <w:r>
        <w:rPr>
          <w:rFonts w:eastAsia="仿宋_GB2312" w:cs="Times New Roman"/>
          <w:sz w:val="32"/>
          <w:szCs w:val="32"/>
        </w:rPr>
        <w:t>42.65</w:t>
      </w:r>
      <w:r>
        <w:rPr>
          <w:rFonts w:hint="eastAsia" w:eastAsia="仿宋_GB2312" w:cs="Times New Roman"/>
          <w:sz w:val="32"/>
          <w:szCs w:val="32"/>
        </w:rPr>
        <w:t>万人。</w:t>
      </w:r>
      <w:r>
        <w:rPr>
          <w:rFonts w:eastAsia="仿宋_GB2312" w:cs="Times New Roman"/>
          <w:sz w:val="32"/>
          <w:szCs w:val="32"/>
        </w:rPr>
        <w:t>2017</w:t>
      </w:r>
      <w:r>
        <w:rPr>
          <w:rFonts w:hint="eastAsia" w:eastAsia="仿宋_GB2312" w:cs="Times New Roman"/>
          <w:sz w:val="32"/>
          <w:szCs w:val="32"/>
        </w:rPr>
        <w:t>年城区总供水量为</w:t>
      </w:r>
      <w:r>
        <w:rPr>
          <w:rFonts w:eastAsia="仿宋_GB2312" w:cs="Times New Roman"/>
          <w:sz w:val="32"/>
          <w:szCs w:val="32"/>
        </w:rPr>
        <w:t>5000</w:t>
      </w:r>
      <w:r>
        <w:rPr>
          <w:rFonts w:hint="eastAsia" w:eastAsia="仿宋_GB2312" w:cs="Times New Roman"/>
          <w:sz w:val="32"/>
          <w:szCs w:val="32"/>
        </w:rPr>
        <w:t>万吨，按照折污系数</w:t>
      </w:r>
      <w:r>
        <w:rPr>
          <w:rFonts w:eastAsia="仿宋_GB2312" w:cs="Times New Roman"/>
          <w:sz w:val="32"/>
          <w:szCs w:val="32"/>
        </w:rPr>
        <w:t>0.8</w:t>
      </w:r>
      <w:r>
        <w:rPr>
          <w:rFonts w:hint="eastAsia" w:eastAsia="仿宋_GB2312" w:cs="Times New Roman"/>
          <w:sz w:val="32"/>
          <w:szCs w:val="32"/>
        </w:rPr>
        <w:t>估算，全年约产生生活污水</w:t>
      </w:r>
      <w:r>
        <w:rPr>
          <w:rFonts w:eastAsia="仿宋_GB2312" w:cs="Times New Roman"/>
          <w:sz w:val="32"/>
          <w:szCs w:val="32"/>
        </w:rPr>
        <w:t>4000</w:t>
      </w:r>
      <w:r>
        <w:rPr>
          <w:rFonts w:hint="eastAsia" w:eastAsia="仿宋_GB2312" w:cs="Times New Roman"/>
          <w:sz w:val="32"/>
          <w:szCs w:val="32"/>
        </w:rPr>
        <w:t>万吨。</w:t>
      </w:r>
      <w:r>
        <w:rPr>
          <w:rFonts w:eastAsia="仿宋_GB2312" w:cs="Times New Roman"/>
          <w:sz w:val="32"/>
          <w:szCs w:val="32"/>
        </w:rPr>
        <w:t>2017</w:t>
      </w:r>
      <w:r>
        <w:rPr>
          <w:rFonts w:hint="eastAsia" w:eastAsia="仿宋_GB2312" w:cs="Times New Roman"/>
          <w:sz w:val="32"/>
          <w:szCs w:val="32"/>
        </w:rPr>
        <w:t>年主城区处理生活污水的污水处理厂有凯发新泉水务有限公司、龙茂华污水处理有限公司、沧州金桥环保科技发展有限公司和廊坊经济技术开发区供水中心，总设计处理能力</w:t>
      </w:r>
      <w:r>
        <w:rPr>
          <w:rFonts w:eastAsia="仿宋_GB2312" w:cs="Times New Roman"/>
          <w:sz w:val="32"/>
          <w:szCs w:val="32"/>
        </w:rPr>
        <w:t>117000</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日（见表</w:t>
      </w:r>
      <w:r>
        <w:rPr>
          <w:rFonts w:eastAsia="仿宋_GB2312" w:cs="Times New Roman"/>
          <w:sz w:val="32"/>
          <w:szCs w:val="32"/>
        </w:rPr>
        <w:t>4</w:t>
      </w:r>
      <w:r>
        <w:rPr>
          <w:sz w:val="32"/>
          <w:szCs w:val="32"/>
        </w:rPr>
        <w:t>-</w:t>
      </w:r>
      <w:r>
        <w:rPr>
          <w:rFonts w:eastAsia="仿宋_GB2312" w:cs="Times New Roman"/>
          <w:sz w:val="32"/>
          <w:szCs w:val="32"/>
        </w:rPr>
        <w:t>3</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年，市区凯发新泉水务有限公司二期（设计规模</w:t>
      </w:r>
      <w:r>
        <w:rPr>
          <w:rFonts w:eastAsia="仿宋_GB2312" w:cs="Times New Roman"/>
          <w:sz w:val="32"/>
          <w:szCs w:val="32"/>
        </w:rPr>
        <w:t>6</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日，目前日处理量</w:t>
      </w:r>
      <w:r>
        <w:rPr>
          <w:rFonts w:eastAsia="仿宋_GB2312" w:cs="Times New Roman"/>
          <w:sz w:val="32"/>
          <w:szCs w:val="32"/>
        </w:rPr>
        <w:t>3.5</w:t>
      </w:r>
      <w:r>
        <w:rPr>
          <w:rFonts w:hint="eastAsia" w:eastAsia="仿宋_GB2312" w:cs="Times New Roman"/>
          <w:sz w:val="32"/>
          <w:szCs w:val="32"/>
        </w:rPr>
        <w:t>万吨左右）、铁路北污水厂（设计规模</w:t>
      </w:r>
      <w:r>
        <w:rPr>
          <w:rFonts w:eastAsia="仿宋_GB2312" w:cs="Times New Roman"/>
          <w:sz w:val="32"/>
          <w:szCs w:val="32"/>
        </w:rPr>
        <w:t>5</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日，目前日处理量</w:t>
      </w:r>
      <w:r>
        <w:rPr>
          <w:rFonts w:eastAsia="仿宋_GB2312" w:cs="Times New Roman"/>
          <w:sz w:val="32"/>
          <w:szCs w:val="32"/>
        </w:rPr>
        <w:t>3.5</w:t>
      </w:r>
      <w:r>
        <w:rPr>
          <w:rFonts w:hint="eastAsia" w:eastAsia="仿宋_GB2312" w:cs="Times New Roman"/>
          <w:sz w:val="32"/>
          <w:szCs w:val="32"/>
        </w:rPr>
        <w:t>万吨左右）、万庄再生水厂（设计规模</w:t>
      </w:r>
      <w:r>
        <w:rPr>
          <w:rFonts w:eastAsia="仿宋_GB2312" w:cs="Times New Roman"/>
          <w:sz w:val="32"/>
          <w:szCs w:val="32"/>
        </w:rPr>
        <w:t>2</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日，目前日处理量</w:t>
      </w:r>
      <w:r>
        <w:rPr>
          <w:rFonts w:eastAsia="仿宋_GB2312" w:cs="Times New Roman"/>
          <w:sz w:val="32"/>
          <w:szCs w:val="32"/>
        </w:rPr>
        <w:t>0.7</w:t>
      </w:r>
      <w:r>
        <w:rPr>
          <w:rFonts w:hint="eastAsia" w:eastAsia="仿宋_GB2312" w:cs="Times New Roman"/>
          <w:sz w:val="32"/>
          <w:szCs w:val="32"/>
        </w:rPr>
        <w:t>万吨左右）先后建成运行，市区新增污水处理能力</w:t>
      </w:r>
      <w:r>
        <w:rPr>
          <w:rFonts w:eastAsia="仿宋_GB2312" w:cs="Times New Roman"/>
          <w:sz w:val="32"/>
          <w:szCs w:val="32"/>
        </w:rPr>
        <w:t>13</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w:t>
      </w:r>
    </w:p>
    <w:p>
      <w:pPr>
        <w:spacing w:before="222" w:beforeLines="50" w:after="222" w:afterLines="50" w:line="240" w:lineRule="auto"/>
        <w:ind w:firstLine="0" w:firstLineChars="0"/>
        <w:jc w:val="center"/>
        <w:rPr>
          <w:rFonts w:ascii="黑体" w:hAnsi="黑体" w:eastAsia="黑体"/>
          <w:bCs/>
          <w:sz w:val="32"/>
          <w:szCs w:val="32"/>
        </w:rPr>
      </w:pPr>
      <w:r>
        <w:rPr>
          <w:rFonts w:hint="eastAsia" w:ascii="黑体" w:hAnsi="黑体" w:eastAsia="黑体"/>
          <w:bCs/>
          <w:sz w:val="32"/>
          <w:szCs w:val="32"/>
        </w:rPr>
        <w:t>表</w:t>
      </w:r>
      <w:r>
        <w:rPr>
          <w:rFonts w:ascii="黑体" w:hAnsi="黑体" w:eastAsia="黑体"/>
          <w:bCs/>
          <w:sz w:val="32"/>
          <w:szCs w:val="32"/>
        </w:rPr>
        <w:t>4</w:t>
      </w:r>
      <w:r>
        <w:rPr>
          <w:sz w:val="32"/>
          <w:szCs w:val="32"/>
        </w:rPr>
        <w:t>-</w:t>
      </w:r>
      <w:r>
        <w:rPr>
          <w:rFonts w:ascii="黑体" w:hAnsi="黑体" w:eastAsia="黑体"/>
          <w:bCs/>
          <w:sz w:val="32"/>
          <w:szCs w:val="32"/>
        </w:rPr>
        <w:t xml:space="preserve">3  </w:t>
      </w:r>
      <w:r>
        <w:rPr>
          <w:rFonts w:hint="eastAsia" w:ascii="黑体" w:hAnsi="黑体" w:eastAsia="黑体"/>
          <w:bCs/>
          <w:sz w:val="32"/>
          <w:szCs w:val="32"/>
        </w:rPr>
        <w:t>研究区内</w:t>
      </w:r>
      <w:r>
        <w:rPr>
          <w:rFonts w:ascii="黑体" w:hAnsi="黑体" w:eastAsia="黑体"/>
          <w:bCs/>
          <w:sz w:val="32"/>
          <w:szCs w:val="32"/>
        </w:rPr>
        <w:t>2017</w:t>
      </w:r>
      <w:r>
        <w:rPr>
          <w:rFonts w:hint="eastAsia" w:ascii="黑体" w:hAnsi="黑体" w:eastAsia="黑体"/>
          <w:bCs/>
          <w:sz w:val="32"/>
          <w:szCs w:val="32"/>
        </w:rPr>
        <w:t>年污水处理厂情况和处理规模</w:t>
      </w:r>
    </w:p>
    <w:tbl>
      <w:tblPr>
        <w:tblStyle w:val="11"/>
        <w:tblW w:w="88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5"/>
        <w:gridCol w:w="2130"/>
        <w:gridCol w:w="751"/>
        <w:gridCol w:w="1056"/>
        <w:gridCol w:w="1204"/>
        <w:gridCol w:w="1204"/>
        <w:gridCol w:w="11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05" w:hRule="atLeast"/>
          <w:jc w:val="center"/>
        </w:trPr>
        <w:tc>
          <w:tcPr>
            <w:tcW w:w="1335"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行政区</w:t>
            </w:r>
          </w:p>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划名称</w:t>
            </w:r>
          </w:p>
        </w:tc>
        <w:tc>
          <w:tcPr>
            <w:tcW w:w="2130"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运营单位名称</w:t>
            </w:r>
          </w:p>
        </w:tc>
        <w:tc>
          <w:tcPr>
            <w:tcW w:w="751"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建成</w:t>
            </w:r>
          </w:p>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时间</w:t>
            </w:r>
          </w:p>
        </w:tc>
        <w:tc>
          <w:tcPr>
            <w:tcW w:w="1056"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污水处</w:t>
            </w:r>
          </w:p>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理方法</w:t>
            </w:r>
          </w:p>
        </w:tc>
        <w:tc>
          <w:tcPr>
            <w:tcW w:w="1204"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处理能力（吨/日）</w:t>
            </w:r>
          </w:p>
        </w:tc>
        <w:tc>
          <w:tcPr>
            <w:tcW w:w="1204"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实际处理量（万吨）</w:t>
            </w:r>
          </w:p>
        </w:tc>
        <w:tc>
          <w:tcPr>
            <w:tcW w:w="1136" w:type="dxa"/>
            <w:vAlign w:val="center"/>
          </w:tcPr>
          <w:p>
            <w:pPr>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处理生活污水量（万吨）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83" w:hRule="atLeast"/>
          <w:jc w:val="center"/>
        </w:trPr>
        <w:tc>
          <w:tcPr>
            <w:tcW w:w="1335"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130"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廊坊市龙茂华污</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水处理有限公司</w:t>
            </w:r>
          </w:p>
        </w:tc>
        <w:tc>
          <w:tcPr>
            <w:tcW w:w="751"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2015</w:t>
            </w:r>
          </w:p>
        </w:tc>
        <w:tc>
          <w:tcPr>
            <w:tcW w:w="105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A</w:t>
            </w:r>
            <w:r>
              <w:rPr>
                <w:rFonts w:eastAsia="仿宋_GB2312" w:cs="Times New Roman"/>
                <w:color w:val="000000"/>
                <w:kern w:val="0"/>
                <w:sz w:val="21"/>
                <w:szCs w:val="21"/>
                <w:vertAlign w:val="superscript"/>
              </w:rPr>
              <w:t>2</w:t>
            </w:r>
            <w:r>
              <w:rPr>
                <w:rFonts w:eastAsia="仿宋_GB2312" w:cs="Times New Roman"/>
                <w:color w:val="000000"/>
                <w:kern w:val="0"/>
                <w:sz w:val="21"/>
                <w:szCs w:val="21"/>
              </w:rPr>
              <w:t>/O</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工艺</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1000</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24.81</w:t>
            </w:r>
          </w:p>
        </w:tc>
        <w:tc>
          <w:tcPr>
            <w:tcW w:w="113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94" w:hRule="atLeast"/>
          <w:jc w:val="center"/>
        </w:trPr>
        <w:tc>
          <w:tcPr>
            <w:tcW w:w="1335"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130"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廊坊凯发新泉水</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务有限公司</w:t>
            </w:r>
          </w:p>
        </w:tc>
        <w:tc>
          <w:tcPr>
            <w:tcW w:w="751"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2002</w:t>
            </w:r>
          </w:p>
        </w:tc>
        <w:tc>
          <w:tcPr>
            <w:tcW w:w="105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A</w:t>
            </w:r>
            <w:r>
              <w:rPr>
                <w:rFonts w:eastAsia="仿宋_GB2312" w:cs="Times New Roman"/>
                <w:color w:val="000000"/>
                <w:kern w:val="0"/>
                <w:sz w:val="21"/>
                <w:szCs w:val="21"/>
                <w:vertAlign w:val="superscript"/>
              </w:rPr>
              <w:t>2</w:t>
            </w:r>
            <w:r>
              <w:rPr>
                <w:rFonts w:eastAsia="仿宋_GB2312" w:cs="Times New Roman"/>
                <w:color w:val="000000"/>
                <w:kern w:val="0"/>
                <w:sz w:val="21"/>
                <w:szCs w:val="21"/>
              </w:rPr>
              <w:t>/O</w:t>
            </w:r>
          </w:p>
          <w:p>
            <w:pPr>
              <w:snapToGrid w:val="0"/>
              <w:spacing w:line="240" w:lineRule="auto"/>
              <w:ind w:firstLine="0" w:firstLineChars="0"/>
              <w:jc w:val="center"/>
              <w:rPr>
                <w:rFonts w:eastAsia="仿宋_GB2312" w:cs="Times New Roman"/>
                <w:color w:val="000000"/>
                <w:kern w:val="0"/>
                <w:sz w:val="21"/>
                <w:szCs w:val="21"/>
                <w:highlight w:val="yellow"/>
              </w:rPr>
            </w:pPr>
            <w:r>
              <w:rPr>
                <w:rFonts w:eastAsia="仿宋_GB2312" w:cs="Times New Roman"/>
                <w:color w:val="000000"/>
                <w:kern w:val="0"/>
                <w:sz w:val="21"/>
                <w:szCs w:val="21"/>
              </w:rPr>
              <w:t>工艺</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80000</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2667</w:t>
            </w:r>
          </w:p>
        </w:tc>
        <w:tc>
          <w:tcPr>
            <w:tcW w:w="113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2667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9" w:hRule="atLeast"/>
          <w:jc w:val="center"/>
        </w:trPr>
        <w:tc>
          <w:tcPr>
            <w:tcW w:w="1335"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130"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沧州金桥环保科</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技发展有限公司</w:t>
            </w:r>
          </w:p>
        </w:tc>
        <w:tc>
          <w:tcPr>
            <w:tcW w:w="751"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2014</w:t>
            </w:r>
          </w:p>
        </w:tc>
        <w:tc>
          <w:tcPr>
            <w:tcW w:w="105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沉淀</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分离</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6000</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110</w:t>
            </w:r>
          </w:p>
        </w:tc>
        <w:tc>
          <w:tcPr>
            <w:tcW w:w="113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1" w:hRule="atLeast"/>
          <w:jc w:val="center"/>
        </w:trPr>
        <w:tc>
          <w:tcPr>
            <w:tcW w:w="1335"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廊坊经济</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开发区</w:t>
            </w:r>
          </w:p>
        </w:tc>
        <w:tc>
          <w:tcPr>
            <w:tcW w:w="2130"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廊坊经济技术开</w:t>
            </w:r>
          </w:p>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发区供水中心</w:t>
            </w:r>
          </w:p>
        </w:tc>
        <w:tc>
          <w:tcPr>
            <w:tcW w:w="751"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2008</w:t>
            </w:r>
          </w:p>
        </w:tc>
        <w:tc>
          <w:tcPr>
            <w:tcW w:w="105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SBR类</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30000</w:t>
            </w:r>
          </w:p>
        </w:tc>
        <w:tc>
          <w:tcPr>
            <w:tcW w:w="1204"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942.38</w:t>
            </w:r>
          </w:p>
        </w:tc>
        <w:tc>
          <w:tcPr>
            <w:tcW w:w="1136" w:type="dxa"/>
            <w:vAlign w:val="center"/>
          </w:tcPr>
          <w:p>
            <w:pPr>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726.81</w:t>
            </w:r>
          </w:p>
        </w:tc>
      </w:tr>
    </w:tbl>
    <w:p>
      <w:pPr>
        <w:spacing w:line="584" w:lineRule="exact"/>
        <w:ind w:firstLine="640"/>
        <w:rPr>
          <w:rFonts w:eastAsia="仿宋_GB2312" w:cs="Times New Roman"/>
          <w:sz w:val="32"/>
          <w:szCs w:val="32"/>
        </w:rPr>
      </w:pPr>
      <w:r>
        <w:rPr>
          <w:rFonts w:hint="eastAsia" w:eastAsia="仿宋_GB2312" w:cs="Times New Roman"/>
          <w:sz w:val="32"/>
          <w:szCs w:val="32"/>
        </w:rPr>
        <w:t>根据《河北省农村生活污水和垃圾处理使用技术指南》，廊坊市农村居民生活用水量系数为</w:t>
      </w:r>
      <w:r>
        <w:rPr>
          <w:rFonts w:eastAsia="仿宋_GB2312" w:cs="Times New Roman"/>
          <w:sz w:val="32"/>
          <w:szCs w:val="32"/>
        </w:rPr>
        <w:t>50</w:t>
      </w:r>
      <w:r>
        <w:rPr>
          <w:rFonts w:hint="eastAsia" w:eastAsia="仿宋_GB2312" w:cs="Times New Roman"/>
          <w:sz w:val="32"/>
          <w:szCs w:val="32"/>
        </w:rPr>
        <w:t>升</w:t>
      </w:r>
      <w:r>
        <w:rPr>
          <w:rFonts w:eastAsia="仿宋_GB2312" w:cs="Times New Roman"/>
          <w:sz w:val="32"/>
          <w:szCs w:val="32"/>
        </w:rPr>
        <w:t>/</w:t>
      </w:r>
      <w:r>
        <w:rPr>
          <w:rFonts w:hint="eastAsia" w:eastAsia="仿宋_GB2312" w:cs="Times New Roman"/>
          <w:sz w:val="32"/>
          <w:szCs w:val="32"/>
        </w:rPr>
        <w:t>人</w:t>
      </w:r>
      <w:r>
        <w:rPr>
          <w:rFonts w:eastAsia="仿宋_GB2312" w:cs="Times New Roman"/>
          <w:sz w:val="32"/>
          <w:szCs w:val="32"/>
        </w:rPr>
        <w:t>·</w:t>
      </w:r>
      <w:r>
        <w:rPr>
          <w:rFonts w:hint="eastAsia" w:eastAsia="仿宋_GB2312" w:cs="Times New Roman"/>
          <w:sz w:val="32"/>
          <w:szCs w:val="32"/>
        </w:rPr>
        <w:t>天，排水系数为</w:t>
      </w:r>
      <w:r>
        <w:rPr>
          <w:rFonts w:eastAsia="仿宋_GB2312" w:cs="Times New Roman"/>
          <w:sz w:val="32"/>
          <w:szCs w:val="32"/>
        </w:rPr>
        <w:t>0.8</w:t>
      </w:r>
      <w:r>
        <w:rPr>
          <w:rFonts w:hint="eastAsia" w:eastAsia="仿宋_GB2312" w:cs="Times New Roman"/>
          <w:sz w:val="32"/>
          <w:szCs w:val="32"/>
        </w:rPr>
        <w:t>，化学需氧量、氨氮和总磷的参考浓度分别为</w:t>
      </w:r>
      <w:r>
        <w:rPr>
          <w:rFonts w:eastAsia="仿宋_GB2312" w:cs="Times New Roman"/>
          <w:sz w:val="32"/>
          <w:szCs w:val="32"/>
        </w:rPr>
        <w:t>300mg/L</w:t>
      </w:r>
      <w:r>
        <w:rPr>
          <w:rFonts w:hint="eastAsia" w:eastAsia="仿宋_GB2312" w:cs="Times New Roman"/>
          <w:sz w:val="32"/>
          <w:szCs w:val="32"/>
        </w:rPr>
        <w:t>、</w:t>
      </w:r>
      <w:r>
        <w:rPr>
          <w:rFonts w:eastAsia="仿宋_GB2312" w:cs="Times New Roman"/>
          <w:sz w:val="32"/>
          <w:szCs w:val="32"/>
        </w:rPr>
        <w:t>35mg/L</w:t>
      </w:r>
      <w:r>
        <w:rPr>
          <w:rFonts w:hint="eastAsia" w:eastAsia="仿宋_GB2312" w:cs="Times New Roman"/>
          <w:sz w:val="32"/>
          <w:szCs w:val="32"/>
        </w:rPr>
        <w:t>和</w:t>
      </w:r>
      <w:r>
        <w:rPr>
          <w:rFonts w:eastAsia="仿宋_GB2312" w:cs="Times New Roman"/>
          <w:sz w:val="32"/>
          <w:szCs w:val="32"/>
        </w:rPr>
        <w:t>5mg/L</w:t>
      </w:r>
      <w:r>
        <w:rPr>
          <w:rFonts w:hint="eastAsia" w:eastAsia="仿宋_GB2312" w:cs="Times New Roman"/>
          <w:sz w:val="32"/>
          <w:szCs w:val="32"/>
        </w:rPr>
        <w:t>，城镇生活源污染物排放量按照污水处理厂排放量与未处理水量的污染物含量之和进行测算，农村生活源由于只有部分农村建有处理设施，大部分农村按照直排进行测算，测算结果如表</w:t>
      </w:r>
      <w:r>
        <w:rPr>
          <w:rFonts w:eastAsia="仿宋_GB2312" w:cs="Times New Roman"/>
          <w:sz w:val="32"/>
          <w:szCs w:val="32"/>
        </w:rPr>
        <w:t>4</w:t>
      </w:r>
      <w:r>
        <w:rPr>
          <w:sz w:val="32"/>
          <w:szCs w:val="32"/>
        </w:rPr>
        <w:t>-</w:t>
      </w:r>
      <w:r>
        <w:rPr>
          <w:rFonts w:eastAsia="仿宋_GB2312" w:cs="Times New Roman"/>
          <w:sz w:val="32"/>
          <w:szCs w:val="32"/>
        </w:rPr>
        <w:t>4</w:t>
      </w:r>
      <w:r>
        <w:rPr>
          <w:rFonts w:hint="eastAsia" w:eastAsia="仿宋_GB2312" w:cs="Times New Roman"/>
          <w:sz w:val="32"/>
          <w:szCs w:val="32"/>
        </w:rPr>
        <w:t>所示。</w:t>
      </w:r>
    </w:p>
    <w:p>
      <w:pPr>
        <w:spacing w:before="222" w:beforeLines="50" w:after="222" w:afterLines="50" w:line="240" w:lineRule="auto"/>
        <w:ind w:firstLine="0" w:firstLineChars="0"/>
        <w:jc w:val="center"/>
        <w:rPr>
          <w:rFonts w:ascii="黑体" w:hAnsi="黑体" w:eastAsia="黑体"/>
          <w:bCs/>
          <w:sz w:val="32"/>
          <w:szCs w:val="32"/>
        </w:rPr>
      </w:pPr>
      <w:r>
        <w:rPr>
          <w:rFonts w:hint="eastAsia" w:ascii="黑体" w:hAnsi="黑体" w:eastAsia="黑体"/>
          <w:bCs/>
          <w:sz w:val="32"/>
          <w:szCs w:val="32"/>
        </w:rPr>
        <w:t>表</w:t>
      </w:r>
      <w:r>
        <w:rPr>
          <w:rFonts w:ascii="黑体" w:hAnsi="黑体" w:eastAsia="黑体"/>
          <w:bCs/>
          <w:sz w:val="32"/>
          <w:szCs w:val="32"/>
        </w:rPr>
        <w:t>4</w:t>
      </w:r>
      <w:r>
        <w:rPr>
          <w:sz w:val="32"/>
          <w:szCs w:val="32"/>
        </w:rPr>
        <w:t>-</w:t>
      </w:r>
      <w:r>
        <w:rPr>
          <w:rFonts w:ascii="黑体" w:hAnsi="黑体" w:eastAsia="黑体"/>
          <w:bCs/>
          <w:sz w:val="32"/>
          <w:szCs w:val="32"/>
        </w:rPr>
        <w:t xml:space="preserve">4  </w:t>
      </w:r>
      <w:r>
        <w:rPr>
          <w:rFonts w:hint="eastAsia" w:ascii="黑体" w:hAnsi="黑体" w:eastAsia="黑体"/>
          <w:bCs/>
          <w:sz w:val="32"/>
          <w:szCs w:val="32"/>
        </w:rPr>
        <w:t>方案实施范围内生活污染排放量汇总表</w:t>
      </w:r>
    </w:p>
    <w:tbl>
      <w:tblPr>
        <w:tblStyle w:val="11"/>
        <w:tblW w:w="875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1"/>
        <w:gridCol w:w="2314"/>
        <w:gridCol w:w="2080"/>
        <w:gridCol w:w="2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4" w:hRule="atLeast"/>
          <w:tblHeader/>
          <w:jc w:val="center"/>
        </w:trPr>
        <w:tc>
          <w:tcPr>
            <w:tcW w:w="2291" w:type="dxa"/>
            <w:vMerge w:val="restart"/>
            <w:shd w:val="clear" w:color="auto" w:fill="FFFFFF"/>
            <w:vAlign w:val="center"/>
          </w:tcPr>
          <w:p>
            <w:pPr>
              <w:spacing w:line="276" w:lineRule="auto"/>
              <w:ind w:firstLine="0" w:firstLineChars="0"/>
              <w:jc w:val="center"/>
              <w:rPr>
                <w:rFonts w:eastAsia="仿宋_GB2312" w:cs="Times New Roman"/>
                <w:b/>
                <w:sz w:val="21"/>
                <w:szCs w:val="21"/>
              </w:rPr>
            </w:pPr>
            <w:r>
              <w:rPr>
                <w:rFonts w:eastAsia="仿宋_GB2312" w:cs="Times New Roman"/>
                <w:b/>
                <w:sz w:val="21"/>
                <w:szCs w:val="21"/>
              </w:rPr>
              <w:t>区域</w:t>
            </w:r>
          </w:p>
        </w:tc>
        <w:tc>
          <w:tcPr>
            <w:tcW w:w="6465" w:type="dxa"/>
            <w:gridSpan w:val="3"/>
            <w:shd w:val="clear" w:color="auto" w:fill="FFFFFF"/>
            <w:vAlign w:val="center"/>
          </w:tcPr>
          <w:p>
            <w:pPr>
              <w:spacing w:line="276" w:lineRule="auto"/>
              <w:ind w:firstLine="0" w:firstLineChars="0"/>
              <w:jc w:val="center"/>
              <w:rPr>
                <w:rFonts w:eastAsia="仿宋_GB2312" w:cs="Times New Roman"/>
                <w:b/>
                <w:sz w:val="21"/>
                <w:szCs w:val="21"/>
              </w:rPr>
            </w:pPr>
            <w:r>
              <w:rPr>
                <w:rFonts w:eastAsia="仿宋_GB2312" w:cs="Times New Roman"/>
                <w:b/>
                <w:sz w:val="21"/>
                <w:szCs w:val="21"/>
              </w:rPr>
              <w:t>污染物年排放量（吨）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atLeast"/>
          <w:tblHeader/>
          <w:jc w:val="center"/>
        </w:trPr>
        <w:tc>
          <w:tcPr>
            <w:tcW w:w="2291" w:type="dxa"/>
            <w:vMerge w:val="continue"/>
            <w:shd w:val="clear" w:color="auto" w:fill="FFFFFF"/>
            <w:vAlign w:val="center"/>
          </w:tcPr>
          <w:p>
            <w:pPr>
              <w:spacing w:line="276" w:lineRule="auto"/>
              <w:ind w:firstLine="422"/>
              <w:jc w:val="center"/>
              <w:rPr>
                <w:rFonts w:eastAsia="仿宋_GB2312" w:cs="Times New Roman"/>
                <w:b/>
                <w:sz w:val="21"/>
                <w:szCs w:val="21"/>
              </w:rPr>
            </w:pPr>
          </w:p>
        </w:tc>
        <w:tc>
          <w:tcPr>
            <w:tcW w:w="2314" w:type="dxa"/>
            <w:shd w:val="clear" w:color="auto" w:fill="FFFFFF"/>
            <w:vAlign w:val="center"/>
          </w:tcPr>
          <w:p>
            <w:pPr>
              <w:spacing w:line="276" w:lineRule="auto"/>
              <w:ind w:firstLine="0" w:firstLineChars="0"/>
              <w:jc w:val="center"/>
              <w:rPr>
                <w:rFonts w:eastAsia="仿宋_GB2312" w:cs="Times New Roman"/>
                <w:b/>
                <w:sz w:val="21"/>
                <w:szCs w:val="21"/>
              </w:rPr>
            </w:pPr>
            <w:r>
              <w:rPr>
                <w:rFonts w:eastAsia="仿宋_GB2312" w:cs="Times New Roman"/>
                <w:b/>
                <w:sz w:val="21"/>
                <w:szCs w:val="21"/>
              </w:rPr>
              <w:t>COD</w:t>
            </w:r>
          </w:p>
        </w:tc>
        <w:tc>
          <w:tcPr>
            <w:tcW w:w="2080" w:type="dxa"/>
            <w:shd w:val="clear" w:color="auto" w:fill="FFFFFF"/>
            <w:vAlign w:val="center"/>
          </w:tcPr>
          <w:p>
            <w:pPr>
              <w:spacing w:line="276" w:lineRule="auto"/>
              <w:ind w:firstLine="0" w:firstLineChars="0"/>
              <w:jc w:val="center"/>
              <w:rPr>
                <w:rFonts w:eastAsia="仿宋_GB2312" w:cs="Times New Roman"/>
                <w:b/>
                <w:sz w:val="21"/>
                <w:szCs w:val="21"/>
              </w:rPr>
            </w:pPr>
            <w:r>
              <w:rPr>
                <w:rFonts w:eastAsia="仿宋_GB2312" w:cs="Times New Roman"/>
                <w:b/>
                <w:sz w:val="21"/>
                <w:szCs w:val="21"/>
              </w:rPr>
              <w:t>NH</w:t>
            </w:r>
            <w:r>
              <w:rPr>
                <w:rFonts w:eastAsia="仿宋_GB2312" w:cs="Times New Roman"/>
                <w:b/>
                <w:sz w:val="21"/>
                <w:szCs w:val="21"/>
                <w:vertAlign w:val="subscript"/>
              </w:rPr>
              <w:t>3</w:t>
            </w:r>
            <w:r>
              <w:rPr>
                <w:rFonts w:eastAsia="仿宋_GB2312" w:cs="Times New Roman"/>
                <w:b/>
                <w:sz w:val="21"/>
                <w:szCs w:val="21"/>
              </w:rPr>
              <w:t>-N</w:t>
            </w:r>
          </w:p>
        </w:tc>
        <w:tc>
          <w:tcPr>
            <w:tcW w:w="2071" w:type="dxa"/>
            <w:shd w:val="clear" w:color="auto" w:fill="FFFFFF"/>
            <w:vAlign w:val="center"/>
          </w:tcPr>
          <w:p>
            <w:pPr>
              <w:spacing w:line="276" w:lineRule="auto"/>
              <w:ind w:firstLine="0" w:firstLineChars="0"/>
              <w:jc w:val="center"/>
              <w:rPr>
                <w:rFonts w:eastAsia="仿宋_GB2312" w:cs="Times New Roman"/>
                <w:b/>
                <w:sz w:val="21"/>
                <w:szCs w:val="21"/>
              </w:rPr>
            </w:pPr>
            <w:r>
              <w:rPr>
                <w:rFonts w:eastAsia="仿宋_GB2312" w:cs="Times New Roman"/>
                <w:b/>
                <w:sz w:val="21"/>
                <w:szCs w:val="21"/>
              </w:rPr>
              <w:t>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54" w:hRule="atLeast"/>
          <w:jc w:val="center"/>
        </w:trPr>
        <w:tc>
          <w:tcPr>
            <w:tcW w:w="2291" w:type="dxa"/>
            <w:shd w:val="clear" w:color="auto" w:fill="FFFFFF"/>
            <w:vAlign w:val="center"/>
          </w:tcPr>
          <w:p>
            <w:pPr>
              <w:spacing w:line="276" w:lineRule="auto"/>
              <w:ind w:firstLine="0" w:firstLineChars="0"/>
              <w:jc w:val="center"/>
              <w:rPr>
                <w:rFonts w:eastAsia="仿宋_GB2312" w:cs="Times New Roman"/>
                <w:sz w:val="21"/>
                <w:szCs w:val="21"/>
              </w:rPr>
            </w:pPr>
            <w:r>
              <w:rPr>
                <w:rFonts w:eastAsia="仿宋_GB2312" w:cs="Times New Roman"/>
                <w:sz w:val="21"/>
                <w:szCs w:val="21"/>
              </w:rPr>
              <w:t>研究区</w:t>
            </w:r>
          </w:p>
        </w:tc>
        <w:tc>
          <w:tcPr>
            <w:tcW w:w="2314" w:type="dxa"/>
            <w:shd w:val="clear" w:color="auto" w:fill="FFFFFF"/>
            <w:vAlign w:val="center"/>
          </w:tcPr>
          <w:p>
            <w:pPr>
              <w:spacing w:line="276" w:lineRule="auto"/>
              <w:ind w:firstLine="0" w:firstLineChars="0"/>
              <w:jc w:val="center"/>
              <w:rPr>
                <w:rFonts w:eastAsia="仿宋_GB2312" w:cs="Times New Roman"/>
                <w:sz w:val="21"/>
                <w:szCs w:val="21"/>
              </w:rPr>
            </w:pPr>
            <w:r>
              <w:rPr>
                <w:rFonts w:eastAsia="仿宋_GB2312" w:cs="Times New Roman"/>
                <w:sz w:val="21"/>
                <w:szCs w:val="21"/>
              </w:rPr>
              <w:t>3906.27</w:t>
            </w:r>
          </w:p>
        </w:tc>
        <w:tc>
          <w:tcPr>
            <w:tcW w:w="2080" w:type="dxa"/>
            <w:shd w:val="clear" w:color="auto" w:fill="FFFFFF"/>
            <w:vAlign w:val="center"/>
          </w:tcPr>
          <w:p>
            <w:pPr>
              <w:spacing w:line="276" w:lineRule="auto"/>
              <w:ind w:firstLine="0" w:firstLineChars="0"/>
              <w:jc w:val="center"/>
              <w:rPr>
                <w:rFonts w:eastAsia="仿宋_GB2312" w:cs="Times New Roman"/>
                <w:sz w:val="21"/>
                <w:szCs w:val="21"/>
              </w:rPr>
            </w:pPr>
            <w:r>
              <w:rPr>
                <w:rFonts w:eastAsia="仿宋_GB2312" w:cs="Times New Roman"/>
                <w:sz w:val="21"/>
                <w:szCs w:val="21"/>
              </w:rPr>
              <w:t>441.3</w:t>
            </w:r>
          </w:p>
        </w:tc>
        <w:tc>
          <w:tcPr>
            <w:tcW w:w="2071" w:type="dxa"/>
            <w:shd w:val="clear" w:color="auto" w:fill="FFFFFF"/>
            <w:vAlign w:val="center"/>
          </w:tcPr>
          <w:p>
            <w:pPr>
              <w:spacing w:line="276" w:lineRule="auto"/>
              <w:ind w:firstLine="0" w:firstLineChars="0"/>
              <w:jc w:val="center"/>
              <w:rPr>
                <w:rFonts w:eastAsia="仿宋_GB2312" w:cs="Times New Roman"/>
                <w:sz w:val="21"/>
                <w:szCs w:val="21"/>
              </w:rPr>
            </w:pPr>
            <w:r>
              <w:rPr>
                <w:rFonts w:eastAsia="仿宋_GB2312" w:cs="Times New Roman"/>
                <w:sz w:val="21"/>
                <w:szCs w:val="21"/>
              </w:rPr>
              <w:t>64.47</w:t>
            </w:r>
          </w:p>
        </w:tc>
      </w:tr>
    </w:tbl>
    <w:p>
      <w:pPr>
        <w:pStyle w:val="3"/>
        <w:spacing w:before="133" w:beforeLines="30" w:line="590" w:lineRule="exact"/>
        <w:ind w:firstLine="643"/>
        <w:rPr>
          <w:rFonts w:eastAsia="楷体_GB2312"/>
        </w:rPr>
      </w:pPr>
      <w:bookmarkStart w:id="103" w:name="_Toc21613510"/>
      <w:r>
        <w:rPr>
          <w:rFonts w:eastAsia="楷体_GB2312"/>
        </w:rPr>
        <w:t>4.3</w:t>
      </w:r>
      <w:r>
        <w:rPr>
          <w:rFonts w:hint="eastAsia" w:eastAsia="楷体_GB2312"/>
        </w:rPr>
        <w:t>规模化畜禽养殖污染</w:t>
      </w:r>
      <w:bookmarkEnd w:id="103"/>
    </w:p>
    <w:p>
      <w:pPr>
        <w:spacing w:line="590" w:lineRule="exact"/>
        <w:ind w:firstLine="640"/>
        <w:rPr>
          <w:rFonts w:eastAsia="仿宋_GB2312" w:cs="Times New Roman"/>
          <w:sz w:val="32"/>
          <w:szCs w:val="32"/>
        </w:rPr>
      </w:pPr>
      <w:r>
        <w:rPr>
          <w:rFonts w:hint="eastAsia" w:eastAsia="仿宋_GB2312" w:cs="Times New Roman"/>
          <w:sz w:val="32"/>
          <w:szCs w:val="32"/>
        </w:rPr>
        <w:t>按照《畜禽养殖禁养区划定技术指南》内容和廊坊市内禁养区、限养区环境治理要求，廊坊市安次区和广阳区开展了规模化养殖场的关闭或搬迁工作，根据</w:t>
      </w:r>
      <w:r>
        <w:rPr>
          <w:rFonts w:eastAsia="仿宋_GB2312" w:cs="Times New Roman"/>
          <w:sz w:val="32"/>
          <w:szCs w:val="32"/>
        </w:rPr>
        <w:t>2017</w:t>
      </w:r>
      <w:r>
        <w:rPr>
          <w:rFonts w:hint="eastAsia" w:eastAsia="仿宋_GB2312" w:cs="Times New Roman"/>
          <w:sz w:val="32"/>
          <w:szCs w:val="32"/>
        </w:rPr>
        <w:t>年环境统计数据，安次区和广阳区规模化畜禽养殖场已无污染排放。</w:t>
      </w:r>
    </w:p>
    <w:p>
      <w:pPr>
        <w:pStyle w:val="3"/>
        <w:spacing w:line="590" w:lineRule="exact"/>
        <w:ind w:firstLine="643"/>
        <w:rPr>
          <w:rFonts w:eastAsia="楷体_GB2312"/>
        </w:rPr>
      </w:pPr>
      <w:bookmarkStart w:id="104" w:name="_Toc21613511"/>
      <w:r>
        <w:rPr>
          <w:rFonts w:eastAsia="楷体_GB2312"/>
        </w:rPr>
        <w:t>4.4</w:t>
      </w:r>
      <w:r>
        <w:rPr>
          <w:rFonts w:hint="eastAsia" w:eastAsia="楷体_GB2312"/>
        </w:rPr>
        <w:t>排污口</w:t>
      </w:r>
      <w:bookmarkEnd w:id="104"/>
    </w:p>
    <w:p>
      <w:pPr>
        <w:spacing w:line="590" w:lineRule="exact"/>
        <w:ind w:firstLine="640"/>
        <w:rPr>
          <w:rFonts w:eastAsia="仿宋_GB2312" w:cs="Times New Roman"/>
          <w:sz w:val="32"/>
          <w:szCs w:val="32"/>
        </w:rPr>
      </w:pPr>
      <w:r>
        <w:rPr>
          <w:rFonts w:eastAsia="仿宋_GB2312" w:cs="Times New Roman"/>
          <w:sz w:val="32"/>
          <w:szCs w:val="32"/>
        </w:rPr>
        <w:t>2017</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年廊坊市开展了龙河及环城水系排污口查找和封堵工作，但由于沿岸雨污管网分流不彻底问题，存在防汛排水口雨天污水溢流现象，如支流半截河于常甫排水闸下游拦截住的黑水被打开一个通道流入龙河，八干渠两岸存在雨天防汛排水口污水溢流问题。</w:t>
      </w:r>
    </w:p>
    <w:tbl>
      <w:tblPr>
        <w:tblStyle w:val="11"/>
        <w:tblW w:w="8700" w:type="dxa"/>
        <w:jc w:val="center"/>
        <w:tblInd w:w="0" w:type="dxa"/>
        <w:tblBorders>
          <w:top w:val="none" w:color="auto" w:sz="0" w:space="0"/>
          <w:left w:val="none" w:color="auto" w:sz="0" w:space="0"/>
          <w:bottom w:val="none" w:color="auto" w:sz="0" w:space="0"/>
          <w:right w:val="none" w:color="auto" w:sz="0" w:space="0"/>
          <w:insideH w:val="single" w:color="000000" w:sz="4" w:space="0"/>
          <w:insideV w:val="none" w:color="auto" w:sz="0" w:space="0"/>
        </w:tblBorders>
        <w:tblLayout w:type="fixed"/>
        <w:tblCellMar>
          <w:top w:w="0" w:type="dxa"/>
          <w:left w:w="108" w:type="dxa"/>
          <w:bottom w:w="0" w:type="dxa"/>
          <w:right w:w="108" w:type="dxa"/>
        </w:tblCellMar>
      </w:tblPr>
      <w:tblGrid>
        <w:gridCol w:w="4350"/>
        <w:gridCol w:w="4350"/>
      </w:tblGrid>
      <w:tr>
        <w:tblPrEx>
          <w:tblBorders>
            <w:top w:val="none" w:color="auto" w:sz="0" w:space="0"/>
            <w:left w:val="none" w:color="auto" w:sz="0" w:space="0"/>
            <w:bottom w:val="none" w:color="auto" w:sz="0" w:space="0"/>
            <w:right w:val="none" w:color="auto" w:sz="0" w:space="0"/>
            <w:insideH w:val="single" w:color="000000" w:sz="4" w:space="0"/>
            <w:insideV w:val="none" w:color="auto" w:sz="0" w:space="0"/>
          </w:tblBorders>
          <w:tblLayout w:type="fixed"/>
          <w:tblCellMar>
            <w:top w:w="0" w:type="dxa"/>
            <w:left w:w="108" w:type="dxa"/>
            <w:bottom w:w="0" w:type="dxa"/>
            <w:right w:w="108" w:type="dxa"/>
          </w:tblCellMar>
        </w:tblPrEx>
        <w:trPr>
          <w:trHeight w:val="4319" w:hRule="atLeast"/>
          <w:jc w:val="center"/>
        </w:trPr>
        <w:tc>
          <w:tcPr>
            <w:tcW w:w="4350" w:type="dxa"/>
            <w:vAlign w:val="center"/>
          </w:tcPr>
          <w:p>
            <w:pPr>
              <w:spacing w:line="240" w:lineRule="auto"/>
              <w:ind w:firstLine="0" w:firstLineChars="0"/>
              <w:jc w:val="center"/>
              <w:rPr>
                <w:szCs w:val="24"/>
              </w:rPr>
            </w:pPr>
            <w:r>
              <w:rPr>
                <w:szCs w:val="24"/>
              </w:rPr>
              <w:drawing>
                <wp:inline distT="0" distB="0" distL="114300" distR="114300">
                  <wp:extent cx="2382520" cy="1946275"/>
                  <wp:effectExtent l="0" t="0" r="17780" b="15875"/>
                  <wp:docPr id="5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5"/>
                          <pic:cNvPicPr>
                            <a:picLocks noChangeAspect="1"/>
                          </pic:cNvPicPr>
                        </pic:nvPicPr>
                        <pic:blipFill>
                          <a:blip r:embed="rId48"/>
                          <a:stretch>
                            <a:fillRect/>
                          </a:stretch>
                        </pic:blipFill>
                        <pic:spPr>
                          <a:xfrm>
                            <a:off x="0" y="0"/>
                            <a:ext cx="2382520" cy="1946275"/>
                          </a:xfrm>
                          <a:prstGeom prst="rect">
                            <a:avLst/>
                          </a:prstGeom>
                          <a:noFill/>
                          <a:ln w="9525">
                            <a:noFill/>
                          </a:ln>
                        </pic:spPr>
                      </pic:pic>
                    </a:graphicData>
                  </a:graphic>
                </wp:inline>
              </w:drawing>
            </w:r>
          </w:p>
          <w:p>
            <w:pPr>
              <w:spacing w:line="240" w:lineRule="auto"/>
              <w:ind w:firstLine="0" w:firstLineChars="0"/>
              <w:jc w:val="center"/>
              <w:rPr>
                <w:szCs w:val="24"/>
              </w:rPr>
            </w:pPr>
            <w:r>
              <w:rPr>
                <w:rFonts w:hint="eastAsia"/>
                <w:szCs w:val="24"/>
              </w:rPr>
              <w:t>（</w:t>
            </w:r>
            <w:r>
              <w:rPr>
                <w:szCs w:val="24"/>
              </w:rPr>
              <w:t>a</w:t>
            </w:r>
            <w:r>
              <w:rPr>
                <w:rFonts w:hint="eastAsia"/>
                <w:szCs w:val="24"/>
              </w:rPr>
              <w:t>）半截河下游</w:t>
            </w:r>
          </w:p>
        </w:tc>
        <w:tc>
          <w:tcPr>
            <w:tcW w:w="4350" w:type="dxa"/>
            <w:vAlign w:val="center"/>
          </w:tcPr>
          <w:p>
            <w:pPr>
              <w:spacing w:line="240" w:lineRule="auto"/>
              <w:ind w:firstLine="0" w:firstLineChars="0"/>
              <w:jc w:val="center"/>
              <w:rPr>
                <w:szCs w:val="24"/>
              </w:rPr>
            </w:pPr>
            <w:r>
              <w:rPr>
                <w:szCs w:val="24"/>
              </w:rPr>
              <w:drawing>
                <wp:inline distT="0" distB="0" distL="114300" distR="114300">
                  <wp:extent cx="2479040" cy="1911985"/>
                  <wp:effectExtent l="0" t="0" r="16510" b="12065"/>
                  <wp:docPr id="56" name="图片 76" descr="IMG_20190514_14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6" descr="IMG_20190514_142756"/>
                          <pic:cNvPicPr>
                            <a:picLocks noChangeAspect="1"/>
                          </pic:cNvPicPr>
                        </pic:nvPicPr>
                        <pic:blipFill>
                          <a:blip r:embed="rId55"/>
                          <a:stretch>
                            <a:fillRect/>
                          </a:stretch>
                        </pic:blipFill>
                        <pic:spPr>
                          <a:xfrm>
                            <a:off x="0" y="0"/>
                            <a:ext cx="2479040" cy="1911985"/>
                          </a:xfrm>
                          <a:prstGeom prst="rect">
                            <a:avLst/>
                          </a:prstGeom>
                          <a:noFill/>
                          <a:ln w="9525">
                            <a:noFill/>
                          </a:ln>
                        </pic:spPr>
                      </pic:pic>
                    </a:graphicData>
                  </a:graphic>
                </wp:inline>
              </w:drawing>
            </w:r>
          </w:p>
          <w:p>
            <w:pPr>
              <w:spacing w:line="240" w:lineRule="auto"/>
              <w:ind w:firstLine="0" w:firstLineChars="0"/>
              <w:jc w:val="center"/>
              <w:rPr>
                <w:szCs w:val="24"/>
              </w:rPr>
            </w:pPr>
            <w:r>
              <w:rPr>
                <w:rFonts w:hint="eastAsia"/>
                <w:szCs w:val="24"/>
              </w:rPr>
              <w:t>（</w:t>
            </w:r>
            <w:r>
              <w:rPr>
                <w:szCs w:val="24"/>
              </w:rPr>
              <w:t>b</w:t>
            </w:r>
            <w:r>
              <w:rPr>
                <w:rFonts w:hint="eastAsia"/>
                <w:szCs w:val="24"/>
              </w:rPr>
              <w:t>）八干渠</w:t>
            </w:r>
          </w:p>
        </w:tc>
      </w:tr>
    </w:tbl>
    <w:p>
      <w:pPr>
        <w:pStyle w:val="8"/>
        <w:rPr>
          <w:rFonts w:ascii="Times New Roman" w:hAnsi="Times New Roman"/>
          <w:b/>
        </w:rPr>
      </w:pPr>
      <w:r>
        <w:rPr>
          <w:rFonts w:hint="eastAsia" w:ascii="Times New Roman" w:hAnsi="Times New Roman"/>
          <w:b/>
        </w:rPr>
        <w:t>图</w:t>
      </w:r>
      <w:r>
        <w:rPr>
          <w:rFonts w:ascii="Times New Roman" w:hAnsi="Times New Roman"/>
          <w:b/>
        </w:rPr>
        <w:t>4</w:t>
      </w:r>
      <w:r>
        <w:rPr>
          <w:rFonts w:hint="eastAsia" w:ascii="Times New Roman" w:hAnsi="Times New Roman"/>
          <w:b/>
        </w:rPr>
        <w:t>-</w:t>
      </w:r>
      <w:r>
        <w:rPr>
          <w:rFonts w:ascii="Times New Roman" w:hAnsi="Times New Roman"/>
          <w:b/>
        </w:rPr>
        <w:t>1</w:t>
      </w:r>
      <w:r>
        <w:rPr>
          <w:rFonts w:hint="eastAsia" w:ascii="Times New Roman" w:hAnsi="Times New Roman"/>
          <w:b/>
        </w:rPr>
        <w:t>　半截河和八干渠现场状况</w:t>
      </w:r>
    </w:p>
    <w:bookmarkEnd w:id="97"/>
    <w:bookmarkEnd w:id="98"/>
    <w:bookmarkEnd w:id="99"/>
    <w:bookmarkEnd w:id="100"/>
    <w:p>
      <w:pPr>
        <w:pStyle w:val="2"/>
        <w:spacing w:before="133" w:beforeLines="30" w:line="590" w:lineRule="exact"/>
        <w:ind w:firstLine="640"/>
      </w:pPr>
      <w:bookmarkStart w:id="105" w:name="_Toc21613512"/>
      <w:r>
        <w:rPr>
          <w:rFonts w:hint="eastAsia"/>
        </w:rPr>
        <w:t>五、原达标方案实施情况评估</w:t>
      </w:r>
      <w:bookmarkEnd w:id="105"/>
    </w:p>
    <w:p>
      <w:pPr>
        <w:pStyle w:val="3"/>
        <w:spacing w:line="590" w:lineRule="exact"/>
        <w:ind w:firstLine="643"/>
        <w:rPr>
          <w:rFonts w:eastAsia="楷体_GB2312"/>
        </w:rPr>
      </w:pPr>
      <w:bookmarkStart w:id="106" w:name="_Toc21613513"/>
      <w:bookmarkStart w:id="107" w:name="_Toc9781135"/>
      <w:r>
        <w:rPr>
          <w:rFonts w:eastAsia="楷体_GB2312"/>
        </w:rPr>
        <w:t>5.1</w:t>
      </w:r>
      <w:r>
        <w:rPr>
          <w:rFonts w:hint="eastAsia" w:eastAsia="楷体_GB2312"/>
        </w:rPr>
        <w:t>总体情况</w:t>
      </w:r>
      <w:bookmarkEnd w:id="106"/>
    </w:p>
    <w:p>
      <w:pPr>
        <w:spacing w:line="590" w:lineRule="exact"/>
        <w:ind w:firstLine="640"/>
        <w:rPr>
          <w:rFonts w:eastAsia="仿宋_GB2312" w:cs="Times New Roman"/>
          <w:sz w:val="32"/>
          <w:szCs w:val="32"/>
        </w:rPr>
      </w:pPr>
      <w:r>
        <w:rPr>
          <w:rFonts w:hint="eastAsia" w:eastAsia="仿宋_GB2312" w:cs="Times New Roman"/>
          <w:sz w:val="32"/>
          <w:szCs w:val="32"/>
        </w:rPr>
        <w:t>《水污染防治行动计划》要求未达到水质目标要求的地区要制定达标方案，由于龙河大王务断面未达到国家考核目标，为了改善龙河水质，廊坊市政府印发实施了《廊坊市龙河水质达标及环城水系水质改善方案》（以下简称</w:t>
      </w:r>
      <w:r>
        <w:rPr>
          <w:rFonts w:eastAsia="仿宋_GB2312" w:cs="Times New Roman"/>
          <w:sz w:val="32"/>
          <w:szCs w:val="32"/>
        </w:rPr>
        <w:t>“</w:t>
      </w:r>
      <w:r>
        <w:rPr>
          <w:rFonts w:hint="eastAsia" w:eastAsia="仿宋_GB2312" w:cs="Times New Roman"/>
          <w:sz w:val="32"/>
          <w:szCs w:val="32"/>
        </w:rPr>
        <w:t>原达标方案</w:t>
      </w:r>
      <w:r>
        <w:rPr>
          <w:rFonts w:eastAsia="仿宋_GB2312" w:cs="Times New Roman"/>
          <w:sz w:val="32"/>
          <w:szCs w:val="32"/>
        </w:rPr>
        <w:t>”</w:t>
      </w:r>
      <w:r>
        <w:rPr>
          <w:rFonts w:hint="eastAsia" w:eastAsia="仿宋_GB2312" w:cs="Times New Roman"/>
          <w:sz w:val="32"/>
          <w:szCs w:val="32"/>
        </w:rPr>
        <w:t>）。原达标方案以</w:t>
      </w:r>
      <w:r>
        <w:rPr>
          <w:rFonts w:eastAsia="仿宋_GB2312" w:cs="Times New Roman"/>
          <w:sz w:val="32"/>
          <w:szCs w:val="32"/>
        </w:rPr>
        <w:t>2015</w:t>
      </w:r>
      <w:r>
        <w:rPr>
          <w:rFonts w:hint="eastAsia" w:eastAsia="仿宋_GB2312" w:cs="Times New Roman"/>
          <w:sz w:val="32"/>
          <w:szCs w:val="32"/>
        </w:rPr>
        <w:t>年为基准年，在大王务断面为劣</w:t>
      </w:r>
      <w:r>
        <w:rPr>
          <w:rFonts w:eastAsia="仿宋_GB2312" w:cs="Times New Roman"/>
          <w:sz w:val="32"/>
          <w:szCs w:val="32"/>
        </w:rPr>
        <w:t>V</w:t>
      </w:r>
      <w:r>
        <w:rPr>
          <w:rFonts w:hint="eastAsia" w:eastAsia="仿宋_GB2312" w:cs="Times New Roman"/>
          <w:sz w:val="32"/>
          <w:szCs w:val="32"/>
        </w:rPr>
        <w:t>类，超标因子为化学需氧量、氨氮和总磷，环城水系为黑臭的现状条件下，制定了龙河以污染源综合整治为主，以生态补水为辅，配合人工湿地、河道清淤、沿河垃圾清运打捞等相关工程措施，环城水系以污染削减为主，辅以再生水回用，力争将城区水系改善为达到景观用水要求，消除黑臭等工程措施，以达到龙河和环城水系水质改善目标。原达标方案共提出了</w:t>
      </w:r>
      <w:r>
        <w:rPr>
          <w:rFonts w:eastAsia="仿宋_GB2312" w:cs="Times New Roman"/>
          <w:sz w:val="32"/>
          <w:szCs w:val="32"/>
        </w:rPr>
        <w:t>31</w:t>
      </w:r>
      <w:r>
        <w:rPr>
          <w:rFonts w:hint="eastAsia" w:eastAsia="仿宋_GB2312" w:cs="Times New Roman"/>
          <w:sz w:val="32"/>
          <w:szCs w:val="32"/>
        </w:rPr>
        <w:t>项重点治理工程（龙河</w:t>
      </w:r>
      <w:r>
        <w:rPr>
          <w:rFonts w:eastAsia="仿宋_GB2312" w:cs="Times New Roman"/>
          <w:sz w:val="32"/>
          <w:szCs w:val="32"/>
        </w:rPr>
        <w:t>13</w:t>
      </w:r>
      <w:r>
        <w:rPr>
          <w:rFonts w:hint="eastAsia" w:eastAsia="仿宋_GB2312" w:cs="Times New Roman"/>
          <w:sz w:val="32"/>
          <w:szCs w:val="32"/>
        </w:rPr>
        <w:t>项，环城水系</w:t>
      </w:r>
      <w:r>
        <w:rPr>
          <w:rFonts w:eastAsia="仿宋_GB2312" w:cs="Times New Roman"/>
          <w:sz w:val="32"/>
          <w:szCs w:val="32"/>
        </w:rPr>
        <w:t>18</w:t>
      </w:r>
      <w:r>
        <w:rPr>
          <w:rFonts w:hint="eastAsia" w:eastAsia="仿宋_GB2312" w:cs="Times New Roman"/>
          <w:sz w:val="32"/>
          <w:szCs w:val="32"/>
        </w:rPr>
        <w:t>项），包含流域污染源治理</w:t>
      </w:r>
      <w:r>
        <w:rPr>
          <w:rFonts w:eastAsia="仿宋_GB2312" w:cs="Times New Roman"/>
          <w:sz w:val="32"/>
          <w:szCs w:val="32"/>
        </w:rPr>
        <w:t>21</w:t>
      </w:r>
      <w:r>
        <w:rPr>
          <w:rFonts w:hint="eastAsia" w:eastAsia="仿宋_GB2312" w:cs="Times New Roman"/>
          <w:sz w:val="32"/>
          <w:szCs w:val="32"/>
        </w:rPr>
        <w:t>项（龙河</w:t>
      </w:r>
      <w:r>
        <w:rPr>
          <w:rFonts w:eastAsia="仿宋_GB2312" w:cs="Times New Roman"/>
          <w:sz w:val="32"/>
          <w:szCs w:val="32"/>
        </w:rPr>
        <w:t>9</w:t>
      </w:r>
      <w:r>
        <w:rPr>
          <w:rFonts w:hint="eastAsia" w:eastAsia="仿宋_GB2312" w:cs="Times New Roman"/>
          <w:sz w:val="32"/>
          <w:szCs w:val="32"/>
        </w:rPr>
        <w:t>项，环城水系</w:t>
      </w:r>
      <w:r>
        <w:rPr>
          <w:rFonts w:eastAsia="仿宋_GB2312" w:cs="Times New Roman"/>
          <w:sz w:val="32"/>
          <w:szCs w:val="32"/>
        </w:rPr>
        <w:t>12</w:t>
      </w:r>
      <w:r>
        <w:rPr>
          <w:rFonts w:hint="eastAsia" w:eastAsia="仿宋_GB2312" w:cs="Times New Roman"/>
          <w:sz w:val="32"/>
          <w:szCs w:val="32"/>
        </w:rPr>
        <w:t>项），生态修复与保护</w:t>
      </w:r>
      <w:r>
        <w:rPr>
          <w:rFonts w:eastAsia="仿宋_GB2312" w:cs="Times New Roman"/>
          <w:sz w:val="32"/>
          <w:szCs w:val="32"/>
        </w:rPr>
        <w:t>7</w:t>
      </w:r>
      <w:r>
        <w:rPr>
          <w:rFonts w:hint="eastAsia" w:eastAsia="仿宋_GB2312" w:cs="Times New Roman"/>
          <w:sz w:val="32"/>
          <w:szCs w:val="32"/>
        </w:rPr>
        <w:t>项（龙河</w:t>
      </w:r>
      <w:r>
        <w:rPr>
          <w:rFonts w:eastAsia="仿宋_GB2312" w:cs="Times New Roman"/>
          <w:sz w:val="32"/>
          <w:szCs w:val="32"/>
        </w:rPr>
        <w:t>3</w:t>
      </w:r>
      <w:r>
        <w:rPr>
          <w:rFonts w:hint="eastAsia" w:eastAsia="仿宋_GB2312" w:cs="Times New Roman"/>
          <w:sz w:val="32"/>
          <w:szCs w:val="32"/>
        </w:rPr>
        <w:t>项，环城水系</w:t>
      </w:r>
      <w:r>
        <w:rPr>
          <w:rFonts w:eastAsia="仿宋_GB2312" w:cs="Times New Roman"/>
          <w:sz w:val="32"/>
          <w:szCs w:val="32"/>
        </w:rPr>
        <w:t>4</w:t>
      </w:r>
      <w:r>
        <w:rPr>
          <w:rFonts w:hint="eastAsia" w:eastAsia="仿宋_GB2312" w:cs="Times New Roman"/>
          <w:sz w:val="32"/>
          <w:szCs w:val="32"/>
        </w:rPr>
        <w:t>项），环境监管能力建设</w:t>
      </w:r>
      <w:r>
        <w:rPr>
          <w:rFonts w:eastAsia="仿宋_GB2312" w:cs="Times New Roman"/>
          <w:sz w:val="32"/>
          <w:szCs w:val="32"/>
        </w:rPr>
        <w:t>3</w:t>
      </w:r>
      <w:r>
        <w:rPr>
          <w:rFonts w:hint="eastAsia" w:eastAsia="仿宋_GB2312" w:cs="Times New Roman"/>
          <w:sz w:val="32"/>
          <w:szCs w:val="32"/>
        </w:rPr>
        <w:t>项（龙河</w:t>
      </w:r>
      <w:r>
        <w:rPr>
          <w:rFonts w:eastAsia="仿宋_GB2312" w:cs="Times New Roman"/>
          <w:sz w:val="32"/>
          <w:szCs w:val="32"/>
        </w:rPr>
        <w:t>1</w:t>
      </w:r>
      <w:r>
        <w:rPr>
          <w:rFonts w:hint="eastAsia" w:eastAsia="仿宋_GB2312" w:cs="Times New Roman"/>
          <w:sz w:val="32"/>
          <w:szCs w:val="32"/>
        </w:rPr>
        <w:t>项，环城水系</w:t>
      </w:r>
      <w:r>
        <w:rPr>
          <w:rFonts w:eastAsia="仿宋_GB2312" w:cs="Times New Roman"/>
          <w:sz w:val="32"/>
          <w:szCs w:val="32"/>
        </w:rPr>
        <w:t>2</w:t>
      </w:r>
      <w:r>
        <w:rPr>
          <w:rFonts w:hint="eastAsia" w:eastAsia="仿宋_GB2312" w:cs="Times New Roman"/>
          <w:sz w:val="32"/>
          <w:szCs w:val="32"/>
        </w:rPr>
        <w:t>项）。</w:t>
      </w:r>
    </w:p>
    <w:p>
      <w:pPr>
        <w:spacing w:line="590" w:lineRule="exact"/>
        <w:ind w:firstLine="640"/>
        <w:rPr>
          <w:rFonts w:eastAsia="仿宋_GB2312" w:cs="Times New Roman"/>
          <w:sz w:val="32"/>
          <w:szCs w:val="32"/>
        </w:rPr>
      </w:pPr>
      <w:r>
        <w:rPr>
          <w:rFonts w:hint="eastAsia" w:eastAsia="仿宋_GB2312" w:cs="Times New Roman"/>
          <w:sz w:val="32"/>
          <w:szCs w:val="32"/>
        </w:rPr>
        <w:t>通过原达标方案的实施，龙河大王务断面和环城水系水质改善明显，大王务断面</w:t>
      </w:r>
      <w:r>
        <w:rPr>
          <w:rFonts w:eastAsia="仿宋_GB2312" w:cs="Times New Roman"/>
          <w:sz w:val="32"/>
          <w:szCs w:val="32"/>
        </w:rPr>
        <w:t>2018</w:t>
      </w:r>
      <w:r>
        <w:rPr>
          <w:rFonts w:hint="eastAsia" w:eastAsia="仿宋_GB2312" w:cs="Times New Roman"/>
          <w:sz w:val="32"/>
          <w:szCs w:val="32"/>
        </w:rPr>
        <w:t>年年均水质类别为Ⅳ类，已达到考核目标要求，环城水系基本消除黑臭。主要污染源城镇生活污染得到有效处理，化学需氧量和氨氮排放量大幅削减。</w:t>
      </w:r>
    </w:p>
    <w:p>
      <w:pPr>
        <w:spacing w:line="590" w:lineRule="exact"/>
        <w:ind w:firstLine="640"/>
        <w:rPr>
          <w:rFonts w:eastAsia="仿宋_GB2312" w:cs="Times New Roman"/>
          <w:sz w:val="32"/>
          <w:szCs w:val="32"/>
        </w:rPr>
      </w:pPr>
      <w:r>
        <w:rPr>
          <w:rFonts w:hint="eastAsia" w:eastAsia="仿宋_GB2312" w:cs="Times New Roman"/>
          <w:sz w:val="32"/>
          <w:szCs w:val="32"/>
        </w:rPr>
        <w:t>通过原达标方案的实施，龙河流域治污能力得到了很大的提升，龙河及环城水系已完成了</w:t>
      </w:r>
      <w:r>
        <w:rPr>
          <w:rFonts w:eastAsia="仿宋_GB2312" w:cs="Times New Roman"/>
          <w:sz w:val="32"/>
          <w:szCs w:val="32"/>
        </w:rPr>
        <w:t>26</w:t>
      </w:r>
      <w:r>
        <w:rPr>
          <w:rFonts w:hint="eastAsia" w:eastAsia="仿宋_GB2312" w:cs="Times New Roman"/>
          <w:sz w:val="32"/>
          <w:szCs w:val="32"/>
        </w:rPr>
        <w:t>项重点工程（含方案外</w:t>
      </w:r>
      <w:r>
        <w:rPr>
          <w:rFonts w:eastAsia="仿宋_GB2312" w:cs="Times New Roman"/>
          <w:sz w:val="32"/>
          <w:szCs w:val="32"/>
        </w:rPr>
        <w:t>1</w:t>
      </w:r>
      <w:r>
        <w:rPr>
          <w:rFonts w:hint="eastAsia" w:eastAsia="仿宋_GB2312" w:cs="Times New Roman"/>
          <w:sz w:val="32"/>
          <w:szCs w:val="32"/>
        </w:rPr>
        <w:t>项工程和调整内容</w:t>
      </w:r>
      <w:r>
        <w:rPr>
          <w:rFonts w:eastAsia="仿宋_GB2312" w:cs="Times New Roman"/>
          <w:sz w:val="32"/>
          <w:szCs w:val="32"/>
        </w:rPr>
        <w:t>1</w:t>
      </w:r>
      <w:r>
        <w:rPr>
          <w:rFonts w:hint="eastAsia" w:eastAsia="仿宋_GB2312" w:cs="Times New Roman"/>
          <w:sz w:val="32"/>
          <w:szCs w:val="32"/>
        </w:rPr>
        <w:t>项工程），</w:t>
      </w:r>
      <w:r>
        <w:rPr>
          <w:rFonts w:eastAsia="仿宋_GB2312" w:cs="Times New Roman"/>
          <w:sz w:val="32"/>
          <w:szCs w:val="32"/>
        </w:rPr>
        <w:t>6</w:t>
      </w:r>
      <w:r>
        <w:rPr>
          <w:rFonts w:hint="eastAsia" w:eastAsia="仿宋_GB2312" w:cs="Times New Roman"/>
          <w:sz w:val="32"/>
          <w:szCs w:val="32"/>
        </w:rPr>
        <w:t>项工程未完成，由于现状等条件的改变，</w:t>
      </w:r>
      <w:r>
        <w:rPr>
          <w:rFonts w:eastAsia="仿宋_GB2312" w:cs="Times New Roman"/>
          <w:sz w:val="32"/>
          <w:szCs w:val="32"/>
        </w:rPr>
        <w:t>3</w:t>
      </w:r>
      <w:r>
        <w:rPr>
          <w:rFonts w:hint="eastAsia" w:eastAsia="仿宋_GB2312" w:cs="Times New Roman"/>
          <w:sz w:val="32"/>
          <w:szCs w:val="32"/>
        </w:rPr>
        <w:t>项未完成的工程已不具备实施的必要性。</w:t>
      </w:r>
    </w:p>
    <w:p>
      <w:pPr>
        <w:spacing w:line="590" w:lineRule="exact"/>
        <w:ind w:firstLine="640"/>
        <w:rPr>
          <w:rFonts w:eastAsia="仿宋_GB2312" w:cs="Times New Roman"/>
          <w:sz w:val="32"/>
          <w:szCs w:val="32"/>
        </w:rPr>
      </w:pPr>
      <w:r>
        <w:rPr>
          <w:rFonts w:hint="eastAsia" w:eastAsia="仿宋_GB2312" w:cs="Times New Roman"/>
          <w:sz w:val="32"/>
          <w:szCs w:val="32"/>
        </w:rPr>
        <w:t>通过原达标方案实施情况的评估和龙河流域实际情况的分析，流域现状条件发生巨大变化，原有的部分水环境问题已基本得到解决，新的水环境问题成为当前的重点，水质改善的重点任务和方向发生转移。</w:t>
      </w:r>
    </w:p>
    <w:p>
      <w:pPr>
        <w:spacing w:line="590" w:lineRule="exact"/>
        <w:ind w:firstLine="643"/>
        <w:rPr>
          <w:rFonts w:eastAsia="楷体_GB2312" w:cs="Times New Roman"/>
          <w:b/>
          <w:sz w:val="32"/>
          <w:szCs w:val="32"/>
        </w:rPr>
      </w:pPr>
      <w:bookmarkStart w:id="108" w:name="_Toc21613514"/>
      <w:r>
        <w:rPr>
          <w:rFonts w:eastAsia="楷体_GB2312" w:cs="Times New Roman"/>
          <w:b/>
          <w:sz w:val="32"/>
          <w:szCs w:val="32"/>
        </w:rPr>
        <w:t>5.2水质改善情况</w:t>
      </w:r>
      <w:bookmarkEnd w:id="108"/>
    </w:p>
    <w:p>
      <w:pPr>
        <w:spacing w:line="590" w:lineRule="exact"/>
        <w:ind w:firstLine="640"/>
        <w:rPr>
          <w:rFonts w:eastAsia="仿宋_GB2312" w:cs="Times New Roman"/>
          <w:sz w:val="32"/>
          <w:szCs w:val="32"/>
        </w:rPr>
      </w:pPr>
      <w:r>
        <w:rPr>
          <w:rFonts w:hint="eastAsia" w:eastAsia="仿宋_GB2312" w:cs="Times New Roman"/>
          <w:sz w:val="32"/>
          <w:szCs w:val="32"/>
        </w:rPr>
        <w:t>龙河廊坊市国控考核断面为与天津交界的出境断面大王务断面，位于廊坊市安次区境内。</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）达标方案实施前水质状况</w:t>
      </w:r>
    </w:p>
    <w:p>
      <w:pPr>
        <w:spacing w:line="590" w:lineRule="exact"/>
        <w:ind w:firstLine="640"/>
        <w:rPr>
          <w:rFonts w:eastAsia="仿宋_GB2312" w:cs="Times New Roman"/>
          <w:sz w:val="32"/>
          <w:szCs w:val="32"/>
        </w:rPr>
      </w:pPr>
      <w:r>
        <w:rPr>
          <w:rFonts w:hint="eastAsia" w:eastAsia="仿宋_GB2312" w:cs="Times New Roman"/>
          <w:sz w:val="32"/>
          <w:szCs w:val="32"/>
        </w:rPr>
        <w:t>根据国控断面水质监测结果（年均值）显示，</w:t>
      </w:r>
      <w:r>
        <w:rPr>
          <w:rFonts w:eastAsia="仿宋_GB2312" w:cs="Times New Roman"/>
          <w:sz w:val="32"/>
          <w:szCs w:val="32"/>
        </w:rPr>
        <w:t>2015</w:t>
      </w:r>
      <w:r>
        <w:rPr>
          <w:rFonts w:hint="eastAsia" w:eastAsia="仿宋_GB2312" w:cs="Times New Roman"/>
          <w:sz w:val="32"/>
          <w:szCs w:val="32"/>
        </w:rPr>
        <w:t>年，龙河出境大王务断面水质为劣</w:t>
      </w:r>
      <w:r>
        <w:rPr>
          <w:rFonts w:eastAsia="仿宋_GB2312" w:cs="Times New Roman"/>
          <w:sz w:val="32"/>
          <w:szCs w:val="32"/>
        </w:rPr>
        <w:t>V</w:t>
      </w:r>
      <w:r>
        <w:rPr>
          <w:rFonts w:hint="eastAsia" w:eastAsia="仿宋_GB2312" w:cs="Times New Roman"/>
          <w:sz w:val="32"/>
          <w:szCs w:val="32"/>
        </w:rPr>
        <w:t>类。大王务断面超标因子为化学需氧量、氨氮和总磷，超标倍数分别为</w:t>
      </w:r>
      <w:r>
        <w:rPr>
          <w:rFonts w:eastAsia="仿宋_GB2312" w:cs="Times New Roman"/>
          <w:sz w:val="32"/>
          <w:szCs w:val="32"/>
        </w:rPr>
        <w:t>0.22</w:t>
      </w:r>
      <w:r>
        <w:rPr>
          <w:rFonts w:hint="eastAsia" w:eastAsia="仿宋_GB2312" w:cs="Times New Roman"/>
          <w:sz w:val="32"/>
          <w:szCs w:val="32"/>
        </w:rPr>
        <w:t>倍、</w:t>
      </w:r>
      <w:r>
        <w:rPr>
          <w:rFonts w:eastAsia="仿宋_GB2312" w:cs="Times New Roman"/>
          <w:sz w:val="32"/>
          <w:szCs w:val="32"/>
        </w:rPr>
        <w:t>1.33</w:t>
      </w:r>
      <w:r>
        <w:rPr>
          <w:rFonts w:hint="eastAsia" w:eastAsia="仿宋_GB2312" w:cs="Times New Roman"/>
          <w:sz w:val="32"/>
          <w:szCs w:val="32"/>
        </w:rPr>
        <w:t>倍和</w:t>
      </w:r>
      <w:r>
        <w:rPr>
          <w:rFonts w:eastAsia="仿宋_GB2312" w:cs="Times New Roman"/>
          <w:sz w:val="32"/>
          <w:szCs w:val="32"/>
        </w:rPr>
        <w:t>2.83</w:t>
      </w:r>
      <w:r>
        <w:rPr>
          <w:rFonts w:hint="eastAsia" w:eastAsia="仿宋_GB2312" w:cs="Times New Roman"/>
          <w:sz w:val="32"/>
          <w:szCs w:val="32"/>
        </w:rPr>
        <w:t>倍。</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）达标方案实施后水质状况</w:t>
      </w:r>
    </w:p>
    <w:p>
      <w:pPr>
        <w:spacing w:line="590" w:lineRule="exact"/>
        <w:ind w:firstLine="640"/>
        <w:rPr>
          <w:rFonts w:eastAsia="仿宋_GB2312" w:cs="Times New Roman"/>
          <w:sz w:val="32"/>
          <w:szCs w:val="32"/>
        </w:rPr>
      </w:pPr>
      <w:r>
        <w:rPr>
          <w:rFonts w:hint="eastAsia" w:eastAsia="仿宋_GB2312" w:cs="Times New Roman"/>
          <w:sz w:val="32"/>
          <w:szCs w:val="32"/>
        </w:rPr>
        <w:t>①龙河出境断面—大王务</w:t>
      </w:r>
    </w:p>
    <w:p>
      <w:pPr>
        <w:spacing w:line="590" w:lineRule="exact"/>
        <w:ind w:firstLine="640"/>
        <w:rPr>
          <w:rFonts w:eastAsia="仿宋_GB2312" w:cs="Times New Roman"/>
          <w:sz w:val="32"/>
          <w:szCs w:val="32"/>
        </w:rPr>
      </w:pPr>
      <w:r>
        <w:rPr>
          <w:rFonts w:hint="eastAsia" w:eastAsia="仿宋_GB2312" w:cs="Times New Roman"/>
          <w:sz w:val="32"/>
          <w:szCs w:val="32"/>
        </w:rPr>
        <w:t>本方案以</w:t>
      </w:r>
      <w:r>
        <w:rPr>
          <w:rFonts w:eastAsia="仿宋_GB2312" w:cs="Times New Roman"/>
          <w:sz w:val="32"/>
          <w:szCs w:val="32"/>
        </w:rPr>
        <w:t>2016</w:t>
      </w:r>
      <w:r>
        <w:rPr>
          <w:rFonts w:hint="eastAsia" w:eastAsia="仿宋_GB2312" w:cs="Times New Roman"/>
          <w:sz w:val="32"/>
          <w:szCs w:val="32"/>
        </w:rPr>
        <w:t>年</w:t>
      </w:r>
      <w:r>
        <w:rPr>
          <w:rFonts w:eastAsia="仿宋_GB2312" w:cs="Times New Roman"/>
          <w:sz w:val="32"/>
          <w:szCs w:val="32"/>
        </w:rPr>
        <w:t>1</w:t>
      </w:r>
      <w:r>
        <w:rPr>
          <w:rFonts w:hint="eastAsia" w:eastAsia="仿宋_GB2312" w:cs="Times New Roman"/>
          <w:sz w:val="32"/>
          <w:szCs w:val="32"/>
        </w:rPr>
        <w:t>月—</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8</w:t>
      </w:r>
      <w:r>
        <w:rPr>
          <w:rFonts w:hint="eastAsia" w:eastAsia="仿宋_GB2312" w:cs="Times New Roman"/>
          <w:sz w:val="32"/>
          <w:szCs w:val="32"/>
        </w:rPr>
        <w:t>月共</w:t>
      </w:r>
      <w:r>
        <w:rPr>
          <w:rFonts w:eastAsia="仿宋_GB2312" w:cs="Times New Roman"/>
          <w:sz w:val="32"/>
          <w:szCs w:val="32"/>
        </w:rPr>
        <w:t>44</w:t>
      </w:r>
      <w:r>
        <w:rPr>
          <w:rFonts w:hint="eastAsia" w:eastAsia="仿宋_GB2312" w:cs="Times New Roman"/>
          <w:sz w:val="32"/>
          <w:szCs w:val="32"/>
        </w:rPr>
        <w:t>个月的例行水质监测数据作为分析依据，其监测及评价结果详见表</w:t>
      </w:r>
      <w:r>
        <w:rPr>
          <w:rFonts w:eastAsia="仿宋_GB2312" w:cs="Times New Roman"/>
          <w:sz w:val="32"/>
          <w:szCs w:val="32"/>
        </w:rPr>
        <w:t>5</w:t>
      </w:r>
      <w:r>
        <w:rPr>
          <w:sz w:val="32"/>
          <w:szCs w:val="32"/>
        </w:rPr>
        <w:t>-</w:t>
      </w:r>
      <w:r>
        <w:rPr>
          <w:rFonts w:eastAsia="仿宋_GB2312" w:cs="Times New Roman"/>
          <w:sz w:val="32"/>
          <w:szCs w:val="32"/>
        </w:rPr>
        <w:t>1</w:t>
      </w:r>
      <w:r>
        <w:rPr>
          <w:rFonts w:hint="eastAsia" w:eastAsia="仿宋_GB2312" w:cs="Times New Roman"/>
          <w:sz w:val="32"/>
          <w:szCs w:val="32"/>
        </w:rPr>
        <w:t>。</w:t>
      </w:r>
    </w:p>
    <w:p>
      <w:pPr>
        <w:spacing w:before="222" w:beforeLines="50" w:after="222" w:afterLines="50" w:line="240" w:lineRule="auto"/>
        <w:ind w:firstLine="0" w:firstLineChars="0"/>
        <w:jc w:val="center"/>
        <w:rPr>
          <w:rFonts w:eastAsia="黑体" w:cs="Times New Roman"/>
          <w:bCs/>
          <w:sz w:val="32"/>
          <w:szCs w:val="32"/>
        </w:rPr>
      </w:pPr>
      <w:r>
        <w:rPr>
          <w:rFonts w:hAnsi="黑体" w:eastAsia="黑体" w:cs="Times New Roman"/>
          <w:bCs/>
          <w:sz w:val="32"/>
          <w:szCs w:val="32"/>
        </w:rPr>
        <w:t>表</w:t>
      </w:r>
      <w:r>
        <w:rPr>
          <w:rFonts w:eastAsia="黑体" w:cs="Times New Roman"/>
          <w:bCs/>
          <w:sz w:val="32"/>
          <w:szCs w:val="32"/>
        </w:rPr>
        <w:t>5</w:t>
      </w:r>
      <w:r>
        <w:rPr>
          <w:rFonts w:eastAsia="黑体" w:cs="Times New Roman"/>
          <w:sz w:val="32"/>
          <w:szCs w:val="32"/>
        </w:rPr>
        <w:t>-</w:t>
      </w:r>
      <w:r>
        <w:rPr>
          <w:rFonts w:eastAsia="黑体" w:cs="Times New Roman"/>
          <w:bCs/>
          <w:sz w:val="32"/>
          <w:szCs w:val="32"/>
        </w:rPr>
        <w:t>1  2016—2019</w:t>
      </w:r>
      <w:r>
        <w:rPr>
          <w:rFonts w:hAnsi="黑体" w:eastAsia="黑体" w:cs="Times New Roman"/>
          <w:bCs/>
          <w:sz w:val="32"/>
          <w:szCs w:val="32"/>
        </w:rPr>
        <w:t>年大王务断面水质监测结果一览表</w:t>
      </w:r>
    </w:p>
    <w:tbl>
      <w:tblPr>
        <w:tblStyle w:val="11"/>
        <w:tblW w:w="8781" w:type="dxa"/>
        <w:jc w:val="center"/>
        <w:tblInd w:w="-5" w:type="dxa"/>
        <w:tblLayout w:type="fixed"/>
        <w:tblCellMar>
          <w:top w:w="0" w:type="dxa"/>
          <w:left w:w="0" w:type="dxa"/>
          <w:bottom w:w="0" w:type="dxa"/>
          <w:right w:w="0" w:type="dxa"/>
        </w:tblCellMar>
      </w:tblPr>
      <w:tblGrid>
        <w:gridCol w:w="859"/>
        <w:gridCol w:w="860"/>
        <w:gridCol w:w="625"/>
        <w:gridCol w:w="582"/>
        <w:gridCol w:w="884"/>
        <w:gridCol w:w="734"/>
        <w:gridCol w:w="728"/>
        <w:gridCol w:w="733"/>
        <w:gridCol w:w="585"/>
        <w:gridCol w:w="2191"/>
      </w:tblGrid>
      <w:tr>
        <w:tblPrEx>
          <w:tblLayout w:type="fixed"/>
          <w:tblCellMar>
            <w:top w:w="0" w:type="dxa"/>
            <w:left w:w="0" w:type="dxa"/>
            <w:bottom w:w="0" w:type="dxa"/>
            <w:right w:w="0" w:type="dxa"/>
          </w:tblCellMar>
        </w:tblPrEx>
        <w:trPr>
          <w:trHeight w:val="876" w:hRule="atLeast"/>
          <w:tblHeader/>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断面名称</w:t>
            </w:r>
          </w:p>
        </w:tc>
        <w:tc>
          <w:tcPr>
            <w:tcW w:w="860"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所在河流</w:t>
            </w:r>
          </w:p>
        </w:tc>
        <w:tc>
          <w:tcPr>
            <w:tcW w:w="62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年</w:t>
            </w:r>
          </w:p>
        </w:tc>
        <w:tc>
          <w:tcPr>
            <w:tcW w:w="582"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月</w:t>
            </w:r>
          </w:p>
        </w:tc>
        <w:tc>
          <w:tcPr>
            <w:tcW w:w="884"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CODmn</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734"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氨氮（mg/L）</w:t>
            </w:r>
          </w:p>
        </w:tc>
        <w:tc>
          <w:tcPr>
            <w:tcW w:w="728"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CODcr</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733"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总磷（mg/L）</w:t>
            </w:r>
          </w:p>
        </w:tc>
        <w:tc>
          <w:tcPr>
            <w:tcW w:w="58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水质</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类别</w:t>
            </w:r>
          </w:p>
        </w:tc>
        <w:tc>
          <w:tcPr>
            <w:tcW w:w="2191"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超标因子和倍数</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冰封未测</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13.1</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0.85</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63.0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0.37</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化学需氧量（0.6）</w:t>
            </w:r>
          </w:p>
        </w:tc>
      </w:tr>
      <w:tr>
        <w:tblPrEx>
          <w:tblLayout w:type="fixed"/>
          <w:tblCellMar>
            <w:top w:w="0" w:type="dxa"/>
            <w:left w:w="0" w:type="dxa"/>
            <w:bottom w:w="0" w:type="dxa"/>
            <w:right w:w="0" w:type="dxa"/>
          </w:tblCellMar>
        </w:tblPrEx>
        <w:trPr>
          <w:trHeight w:val="10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19.9</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1.99</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58.0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0.83</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高锰酸盐指数（0.3）、化学需氧量（0.5）、总磷（1.1）</w:t>
            </w:r>
          </w:p>
        </w:tc>
      </w:tr>
      <w:tr>
        <w:tblPrEx>
          <w:tblLayout w:type="fixed"/>
          <w:tblCellMar>
            <w:top w:w="0" w:type="dxa"/>
            <w:left w:w="0" w:type="dxa"/>
            <w:bottom w:w="0" w:type="dxa"/>
            <w:right w:w="0" w:type="dxa"/>
          </w:tblCellMar>
        </w:tblPrEx>
        <w:trPr>
          <w:trHeight w:val="823"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11.6</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1.17</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56.0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0.63</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化学需氧量（0.4）、总磷（0.6）</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6—12</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施工断流未测</w:t>
            </w:r>
          </w:p>
        </w:tc>
      </w:tr>
      <w:tr>
        <w:tblPrEx>
          <w:tblLayout w:type="fixed"/>
          <w:tblCellMar>
            <w:top w:w="0" w:type="dxa"/>
            <w:left w:w="0" w:type="dxa"/>
            <w:bottom w:w="0" w:type="dxa"/>
            <w:right w:w="0" w:type="dxa"/>
          </w:tblCellMar>
        </w:tblPrEx>
        <w:trPr>
          <w:trHeight w:val="70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2016</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14.9</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1.34</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59.0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0.61</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化学需氧量（0.5）、总磷（0.5）</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冰封未测</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3—5</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施工断流未测</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8.4</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0.36</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32.0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0.59</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总磷（0.5）</w:t>
            </w:r>
          </w:p>
        </w:tc>
      </w:tr>
      <w:tr>
        <w:tblPrEx>
          <w:tblLayout w:type="fixed"/>
          <w:tblCellMar>
            <w:top w:w="0" w:type="dxa"/>
            <w:left w:w="0" w:type="dxa"/>
            <w:bottom w:w="0" w:type="dxa"/>
            <w:right w:w="0" w:type="dxa"/>
          </w:tblCellMar>
        </w:tblPrEx>
        <w:trPr>
          <w:trHeight w:val="1082"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12.1</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2.52</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48.0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0.67</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生化需氧量（0.4）、氨氮（0.3）、化学需氧量（0.2）、总磷（0.7）</w:t>
            </w:r>
          </w:p>
        </w:tc>
      </w:tr>
      <w:tr>
        <w:tblPrEx>
          <w:tblLayout w:type="fixed"/>
          <w:tblCellMar>
            <w:top w:w="0" w:type="dxa"/>
            <w:left w:w="0" w:type="dxa"/>
            <w:bottom w:w="0" w:type="dxa"/>
            <w:right w:w="0" w:type="dxa"/>
          </w:tblCellMar>
        </w:tblPrEx>
        <w:trPr>
          <w:trHeight w:val="994"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10.2</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2.87</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69.0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1.04</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生化需氧量（0.8）、氨氮（0.4）、化学需氧量（0.7）、总磷（1.6）</w:t>
            </w:r>
          </w:p>
        </w:tc>
      </w:tr>
      <w:tr>
        <w:tblPrEx>
          <w:tblLayout w:type="fixed"/>
          <w:tblCellMar>
            <w:top w:w="0" w:type="dxa"/>
            <w:left w:w="0" w:type="dxa"/>
            <w:bottom w:w="0" w:type="dxa"/>
            <w:right w:w="0" w:type="dxa"/>
          </w:tblCellMar>
        </w:tblPrEx>
        <w:trPr>
          <w:trHeight w:val="1096"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16.1</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1.36</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52.0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0.99</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高锰酸盐指数（0.1）、化学需氧量（0.3）、总磷（1.5）</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10.7</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2.23</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1.25</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氨氮（0.1）、总磷（2.1）</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5.6</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0.67</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19.0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0.13</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Ⅲ</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3.9</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0.24</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33.0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0.24</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665"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9.6</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1.46</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41.4</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0.70</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化学需氧量（0.03）、总磷（0.8）</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7.7</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0.31</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33.0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0.13</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冰封未测</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3—7</w:t>
            </w:r>
          </w:p>
        </w:tc>
        <w:tc>
          <w:tcPr>
            <w:tcW w:w="5855" w:type="dxa"/>
            <w:gridSpan w:val="6"/>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施工断流未测</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13.3</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0.59</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49.0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0.14</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化学需氧量（0.2）</w:t>
            </w: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6.8</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0.38</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0.12</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Ⅳ</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5.9</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0.35</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26.0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0.11</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Ⅳ</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4.9</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0.37</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0.05</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Ⅲ</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4.4</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0.06</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18.0</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0.04</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Ⅲ</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582"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88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7.2</w:t>
            </w:r>
          </w:p>
        </w:tc>
        <w:tc>
          <w:tcPr>
            <w:tcW w:w="73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0.34</w:t>
            </w:r>
          </w:p>
        </w:tc>
        <w:tc>
          <w:tcPr>
            <w:tcW w:w="728"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27.8</w:t>
            </w:r>
          </w:p>
        </w:tc>
        <w:tc>
          <w:tcPr>
            <w:tcW w:w="73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0.10</w:t>
            </w:r>
          </w:p>
        </w:tc>
        <w:tc>
          <w:tcPr>
            <w:tcW w:w="58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Ⅳ</w:t>
            </w:r>
          </w:p>
        </w:tc>
        <w:tc>
          <w:tcPr>
            <w:tcW w:w="219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3.6</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0.18</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15</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0.02</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Ⅱ</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4.8</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1.8</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18</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0.02</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Ⅴ</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17.8</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1.86</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80</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0.42</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化学需氧量（1）</w:t>
            </w: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5855" w:type="dxa"/>
            <w:gridSpan w:val="6"/>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施工断流未测</w:t>
            </w: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9.7</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0.13</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42</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0.08</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化学需氧量（0.05）</w:t>
            </w: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7.4</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0.09</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34</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0.08</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Ⅴ</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49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8.1</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0.41</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36</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Ⅴ</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r>
        <w:tblPrEx>
          <w:tblLayout w:type="fixed"/>
          <w:tblCellMar>
            <w:top w:w="0" w:type="dxa"/>
            <w:left w:w="0" w:type="dxa"/>
            <w:bottom w:w="0" w:type="dxa"/>
            <w:right w:w="0" w:type="dxa"/>
          </w:tblCellMar>
        </w:tblPrEx>
        <w:trPr>
          <w:trHeight w:val="577" w:hRule="atLeast"/>
          <w:jc w:val="center"/>
        </w:trPr>
        <w:tc>
          <w:tcPr>
            <w:tcW w:w="859"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大王务</w:t>
            </w:r>
          </w:p>
        </w:tc>
        <w:tc>
          <w:tcPr>
            <w:tcW w:w="860"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龙河</w:t>
            </w:r>
          </w:p>
        </w:tc>
        <w:tc>
          <w:tcPr>
            <w:tcW w:w="62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2019</w:t>
            </w:r>
          </w:p>
        </w:tc>
        <w:tc>
          <w:tcPr>
            <w:tcW w:w="5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88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6.8</w:t>
            </w:r>
          </w:p>
        </w:tc>
        <w:tc>
          <w:tcPr>
            <w:tcW w:w="734"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0.5</w:t>
            </w:r>
          </w:p>
        </w:tc>
        <w:tc>
          <w:tcPr>
            <w:tcW w:w="728"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27</w:t>
            </w:r>
          </w:p>
        </w:tc>
        <w:tc>
          <w:tcPr>
            <w:tcW w:w="733"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0.07</w:t>
            </w:r>
          </w:p>
        </w:tc>
        <w:tc>
          <w:tcPr>
            <w:tcW w:w="585"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Ⅳ</w:t>
            </w:r>
          </w:p>
        </w:tc>
        <w:tc>
          <w:tcPr>
            <w:tcW w:w="2191"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p>
        </w:tc>
      </w:tr>
    </w:tbl>
    <w:p>
      <w:pPr>
        <w:spacing w:before="88" w:beforeLines="20" w:after="222" w:afterLines="50" w:line="590" w:lineRule="exact"/>
        <w:ind w:firstLine="640"/>
        <w:rPr>
          <w:rFonts w:eastAsia="仿宋_GB2312" w:cs="Times New Roman"/>
          <w:sz w:val="32"/>
          <w:szCs w:val="32"/>
        </w:rPr>
      </w:pPr>
      <w:r>
        <w:rPr>
          <w:rFonts w:eastAsia="仿宋_GB2312" w:cs="Times New Roman"/>
          <w:sz w:val="32"/>
          <w:szCs w:val="32"/>
        </w:rPr>
        <w:t>由上表可知，大王务断面2016、2017、2018年年均水质类别分别为劣Ⅴ、劣Ⅴ和Ⅳ类，其中2018年已达到考核目标要求，水质改善明显。从具体水质指标来看，2016</w:t>
      </w:r>
      <w:r>
        <w:rPr>
          <w:rFonts w:hint="eastAsia" w:eastAsia="仿宋_GB2312" w:cs="Times New Roman"/>
          <w:sz w:val="32"/>
          <w:szCs w:val="32"/>
        </w:rPr>
        <w:t>—</w:t>
      </w:r>
      <w:r>
        <w:rPr>
          <w:rFonts w:eastAsia="仿宋_GB2312" w:cs="Times New Roman"/>
          <w:sz w:val="32"/>
          <w:szCs w:val="32"/>
        </w:rPr>
        <w:t>2018年主要指标年均浓度均呈下降趋势，2018年较2016年总磷、氨氮、化学需氧量和高锰酸盐指数浓度分别下降83.9%、74.6%、52.9%和51.7%。主要污染物浓度变化情况见下图。</w:t>
      </w:r>
    </w:p>
    <w:p>
      <w:pPr>
        <w:pStyle w:val="8"/>
        <w:rPr>
          <w:rFonts w:ascii="Times New Roman" w:hAnsi="Times New Roman"/>
        </w:rPr>
      </w:pPr>
      <w:r>
        <w:rPr>
          <w:rFonts w:ascii="Times New Roman" w:hAnsi="Times New Roman"/>
        </w:rPr>
        <w:drawing>
          <wp:inline distT="0" distB="0" distL="114300" distR="114300">
            <wp:extent cx="4833620" cy="2658745"/>
            <wp:effectExtent l="0" t="0" r="5080" b="8255"/>
            <wp:docPr id="5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7"/>
                    <pic:cNvPicPr>
                      <a:picLocks noChangeAspect="1"/>
                    </pic:cNvPicPr>
                  </pic:nvPicPr>
                  <pic:blipFill>
                    <a:blip r:embed="rId58"/>
                    <a:stretch>
                      <a:fillRect/>
                    </a:stretch>
                  </pic:blipFill>
                  <pic:spPr>
                    <a:xfrm>
                      <a:off x="0" y="0"/>
                      <a:ext cx="4833620" cy="2658745"/>
                    </a:xfrm>
                    <a:prstGeom prst="rect">
                      <a:avLst/>
                    </a:prstGeom>
                    <a:noFill/>
                    <a:ln w="9525">
                      <a:noFill/>
                    </a:ln>
                  </pic:spPr>
                </pic:pic>
              </a:graphicData>
            </a:graphic>
          </wp:inline>
        </w:drawing>
      </w:r>
    </w:p>
    <w:p>
      <w:pPr>
        <w:pStyle w:val="8"/>
        <w:spacing w:before="133" w:beforeLines="30" w:after="222" w:afterLines="5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1</w:t>
      </w:r>
      <w:r>
        <w:rPr>
          <w:rFonts w:hint="eastAsia" w:ascii="Times New Roman" w:hAnsi="Times New Roman"/>
          <w:b/>
        </w:rPr>
        <w:t>　大王务断面总磷浓度年际变化</w:t>
      </w:r>
    </w:p>
    <w:p>
      <w:pPr>
        <w:pStyle w:val="8"/>
        <w:rPr>
          <w:rFonts w:ascii="Times New Roman" w:hAnsi="Times New Roman"/>
          <w:sz w:val="22"/>
          <w:szCs w:val="22"/>
        </w:rPr>
      </w:pPr>
      <w:r>
        <w:rPr>
          <w:rFonts w:ascii="Times New Roman" w:hAnsi="Times New Roman"/>
          <w:sz w:val="22"/>
          <w:szCs w:val="22"/>
        </w:rPr>
        <w:drawing>
          <wp:inline distT="0" distB="0" distL="114300" distR="114300">
            <wp:extent cx="4888865" cy="2670175"/>
            <wp:effectExtent l="0" t="0" r="6985" b="15875"/>
            <wp:docPr id="5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78"/>
                    <pic:cNvPicPr>
                      <a:picLocks noChangeAspect="1"/>
                    </pic:cNvPicPr>
                  </pic:nvPicPr>
                  <pic:blipFill>
                    <a:blip r:embed="rId59"/>
                    <a:stretch>
                      <a:fillRect/>
                    </a:stretch>
                  </pic:blipFill>
                  <pic:spPr>
                    <a:xfrm>
                      <a:off x="0" y="0"/>
                      <a:ext cx="4888865" cy="2670175"/>
                    </a:xfrm>
                    <a:prstGeom prst="rect">
                      <a:avLst/>
                    </a:prstGeom>
                    <a:noFill/>
                    <a:ln w="9525">
                      <a:noFill/>
                    </a:ln>
                  </pic:spPr>
                </pic:pic>
              </a:graphicData>
            </a:graphic>
          </wp:inline>
        </w:drawing>
      </w:r>
    </w:p>
    <w:p>
      <w:pPr>
        <w:pStyle w:val="8"/>
        <w:spacing w:before="133" w:beforeLines="3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2</w:t>
      </w:r>
      <w:r>
        <w:rPr>
          <w:rFonts w:hint="eastAsia" w:ascii="Times New Roman" w:hAnsi="Times New Roman"/>
          <w:b/>
        </w:rPr>
        <w:t>　大王务断面氨氮浓度年际变化</w:t>
      </w:r>
    </w:p>
    <w:p>
      <w:pPr>
        <w:pStyle w:val="8"/>
        <w:rPr>
          <w:rFonts w:ascii="Times New Roman" w:hAnsi="Times New Roman"/>
        </w:rPr>
      </w:pPr>
      <w:r>
        <w:rPr>
          <w:rFonts w:ascii="Times New Roman" w:hAnsi="Times New Roman"/>
        </w:rPr>
        <w:drawing>
          <wp:inline distT="0" distB="0" distL="114300" distR="114300">
            <wp:extent cx="5215255" cy="2878455"/>
            <wp:effectExtent l="0" t="0" r="4445" b="17145"/>
            <wp:docPr id="5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9"/>
                    <pic:cNvPicPr>
                      <a:picLocks noChangeAspect="1"/>
                    </pic:cNvPicPr>
                  </pic:nvPicPr>
                  <pic:blipFill>
                    <a:blip r:embed="rId60"/>
                    <a:stretch>
                      <a:fillRect/>
                    </a:stretch>
                  </pic:blipFill>
                  <pic:spPr>
                    <a:xfrm>
                      <a:off x="0" y="0"/>
                      <a:ext cx="5215255" cy="2878455"/>
                    </a:xfrm>
                    <a:prstGeom prst="rect">
                      <a:avLst/>
                    </a:prstGeom>
                    <a:noFill/>
                    <a:ln w="9525">
                      <a:noFill/>
                    </a:ln>
                  </pic:spPr>
                </pic:pic>
              </a:graphicData>
            </a:graphic>
          </wp:inline>
        </w:drawing>
      </w:r>
    </w:p>
    <w:p>
      <w:pPr>
        <w:pStyle w:val="8"/>
        <w:spacing w:before="88" w:beforeLines="20" w:after="222" w:afterLines="5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3</w:t>
      </w:r>
      <w:r>
        <w:rPr>
          <w:rFonts w:hint="eastAsia" w:ascii="Times New Roman" w:hAnsi="Times New Roman"/>
          <w:b/>
        </w:rPr>
        <w:t>　大王务断面化学需氧量浓度年际变化</w:t>
      </w:r>
    </w:p>
    <w:p>
      <w:pPr>
        <w:pStyle w:val="8"/>
        <w:rPr>
          <w:rFonts w:ascii="Times New Roman" w:hAnsi="Times New Roman"/>
          <w:kern w:val="0"/>
          <w:sz w:val="22"/>
          <w:szCs w:val="22"/>
        </w:rPr>
      </w:pPr>
      <w:r>
        <w:rPr>
          <w:rFonts w:ascii="Times New Roman" w:hAnsi="Times New Roman"/>
          <w:kern w:val="0"/>
          <w:sz w:val="22"/>
          <w:szCs w:val="22"/>
        </w:rPr>
        <w:drawing>
          <wp:inline distT="0" distB="0" distL="114300" distR="114300">
            <wp:extent cx="5205730" cy="2840355"/>
            <wp:effectExtent l="0" t="0" r="13970" b="17145"/>
            <wp:docPr id="6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0"/>
                    <pic:cNvPicPr>
                      <a:picLocks noChangeAspect="1"/>
                    </pic:cNvPicPr>
                  </pic:nvPicPr>
                  <pic:blipFill>
                    <a:blip r:embed="rId61"/>
                    <a:stretch>
                      <a:fillRect/>
                    </a:stretch>
                  </pic:blipFill>
                  <pic:spPr>
                    <a:xfrm>
                      <a:off x="0" y="0"/>
                      <a:ext cx="5205730" cy="2840355"/>
                    </a:xfrm>
                    <a:prstGeom prst="rect">
                      <a:avLst/>
                    </a:prstGeom>
                    <a:noFill/>
                    <a:ln w="9525">
                      <a:noFill/>
                    </a:ln>
                  </pic:spPr>
                </pic:pic>
              </a:graphicData>
            </a:graphic>
          </wp:inline>
        </w:drawing>
      </w:r>
    </w:p>
    <w:p>
      <w:pPr>
        <w:pStyle w:val="8"/>
        <w:spacing w:before="133" w:beforeLines="30" w:after="133" w:afterLines="3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4</w:t>
      </w:r>
      <w:r>
        <w:rPr>
          <w:rFonts w:hint="eastAsia" w:ascii="Times New Roman" w:hAnsi="Times New Roman"/>
          <w:b/>
        </w:rPr>
        <w:t>　大王务断面高锰酸盐指数浓度年际变化</w:t>
      </w:r>
    </w:p>
    <w:p>
      <w:pPr>
        <w:spacing w:line="590" w:lineRule="exact"/>
        <w:ind w:firstLine="640"/>
        <w:rPr>
          <w:rFonts w:eastAsia="仿宋_GB2312" w:cs="Times New Roman"/>
          <w:sz w:val="32"/>
          <w:szCs w:val="32"/>
        </w:rPr>
      </w:pPr>
      <w:r>
        <w:rPr>
          <w:rFonts w:eastAsia="仿宋_GB2312" w:cs="Times New Roman"/>
          <w:sz w:val="32"/>
          <w:szCs w:val="32"/>
        </w:rPr>
        <w:t>从逐月的水质数据看，大王务断面2016</w:t>
      </w:r>
      <w:r>
        <w:rPr>
          <w:rFonts w:hint="eastAsia" w:eastAsia="仿宋_GB2312" w:cs="Times New Roman"/>
          <w:sz w:val="32"/>
          <w:szCs w:val="32"/>
        </w:rPr>
        <w:t>—</w:t>
      </w:r>
      <w:r>
        <w:rPr>
          <w:rFonts w:eastAsia="仿宋_GB2312" w:cs="Times New Roman"/>
          <w:sz w:val="32"/>
          <w:szCs w:val="32"/>
        </w:rPr>
        <w:t>2018年水质达标率分别为0%、28.6%和83.3%，断面达标率逐年上升；2019年1</w:t>
      </w:r>
      <w:r>
        <w:rPr>
          <w:rFonts w:hint="eastAsia" w:eastAsia="仿宋_GB2312" w:cs="Times New Roman"/>
          <w:sz w:val="32"/>
          <w:szCs w:val="32"/>
        </w:rPr>
        <w:t>—</w:t>
      </w:r>
      <w:r>
        <w:rPr>
          <w:rFonts w:eastAsia="仿宋_GB2312" w:cs="Times New Roman"/>
          <w:sz w:val="32"/>
          <w:szCs w:val="32"/>
        </w:rPr>
        <w:t>8月水质达标率为71.5%，断面达标率有所下降（受底泥清淤工程影响）。主要污染物浓度逐月变化情况见下图。</w:t>
      </w:r>
    </w:p>
    <w:p>
      <w:pPr>
        <w:pStyle w:val="8"/>
        <w:rPr>
          <w:rFonts w:ascii="Times New Roman" w:hAnsi="Times New Roman"/>
        </w:rPr>
      </w:pPr>
      <w:r>
        <w:rPr>
          <w:rFonts w:ascii="Times New Roman" w:hAnsi="Times New Roman"/>
        </w:rPr>
        <w:drawing>
          <wp:inline distT="0" distB="0" distL="114300" distR="114300">
            <wp:extent cx="5142230" cy="3129915"/>
            <wp:effectExtent l="0" t="0" r="1270" b="13335"/>
            <wp:docPr id="6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1"/>
                    <pic:cNvPicPr>
                      <a:picLocks noChangeAspect="1"/>
                    </pic:cNvPicPr>
                  </pic:nvPicPr>
                  <pic:blipFill>
                    <a:blip r:embed="rId62"/>
                    <a:stretch>
                      <a:fillRect/>
                    </a:stretch>
                  </pic:blipFill>
                  <pic:spPr>
                    <a:xfrm>
                      <a:off x="0" y="0"/>
                      <a:ext cx="5142230" cy="3129915"/>
                    </a:xfrm>
                    <a:prstGeom prst="rect">
                      <a:avLst/>
                    </a:prstGeom>
                    <a:noFill/>
                    <a:ln w="9525">
                      <a:noFill/>
                    </a:ln>
                  </pic:spPr>
                </pic:pic>
              </a:graphicData>
            </a:graphic>
          </wp:inline>
        </w:drawing>
      </w:r>
    </w:p>
    <w:p>
      <w:pPr>
        <w:pStyle w:val="8"/>
        <w:spacing w:before="222" w:beforeLines="50" w:after="444" w:afterLines="100" w:line="320" w:lineRule="exact"/>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5</w:t>
      </w:r>
      <w:r>
        <w:rPr>
          <w:rFonts w:hint="eastAsia" w:ascii="Times New Roman" w:hAnsi="Times New Roman"/>
          <w:b/>
        </w:rPr>
        <w:t>　大王务断面氨氮浓度逐月变化</w:t>
      </w:r>
    </w:p>
    <w:p>
      <w:pPr>
        <w:spacing w:line="240" w:lineRule="auto"/>
        <w:ind w:firstLine="0" w:firstLineChars="0"/>
        <w:jc w:val="center"/>
      </w:pPr>
      <w:r>
        <w:drawing>
          <wp:inline distT="0" distB="0" distL="114300" distR="114300">
            <wp:extent cx="5121275" cy="2837815"/>
            <wp:effectExtent l="0" t="0" r="3175" b="635"/>
            <wp:docPr id="6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2"/>
                    <pic:cNvPicPr>
                      <a:picLocks noChangeAspect="1"/>
                    </pic:cNvPicPr>
                  </pic:nvPicPr>
                  <pic:blipFill>
                    <a:blip r:embed="rId63"/>
                    <a:stretch>
                      <a:fillRect/>
                    </a:stretch>
                  </pic:blipFill>
                  <pic:spPr>
                    <a:xfrm>
                      <a:off x="0" y="0"/>
                      <a:ext cx="5121275" cy="2837815"/>
                    </a:xfrm>
                    <a:prstGeom prst="rect">
                      <a:avLst/>
                    </a:prstGeom>
                    <a:noFill/>
                    <a:ln w="9525">
                      <a:noFill/>
                    </a:ln>
                  </pic:spPr>
                </pic:pic>
              </a:graphicData>
            </a:graphic>
          </wp:inline>
        </w:drawing>
      </w:r>
    </w:p>
    <w:p>
      <w:pPr>
        <w:pStyle w:val="8"/>
        <w:spacing w:before="133" w:beforeLines="30" w:line="280" w:lineRule="exact"/>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6</w:t>
      </w:r>
      <w:r>
        <w:rPr>
          <w:rFonts w:hint="eastAsia" w:ascii="Times New Roman" w:hAnsi="Times New Roman"/>
          <w:b/>
        </w:rPr>
        <w:t>　大王务断面总磷浓度逐月变化</w:t>
      </w:r>
    </w:p>
    <w:p>
      <w:pPr>
        <w:pStyle w:val="8"/>
        <w:rPr>
          <w:rFonts w:ascii="Times New Roman" w:hAnsi="Times New Roman"/>
          <w:b/>
        </w:rPr>
      </w:pPr>
      <w:r>
        <w:rPr>
          <w:rFonts w:ascii="Times New Roman" w:hAnsi="Times New Roman"/>
          <w:b/>
        </w:rPr>
        <w:drawing>
          <wp:inline distT="0" distB="0" distL="114300" distR="114300">
            <wp:extent cx="4671695" cy="2577465"/>
            <wp:effectExtent l="0" t="0" r="14605" b="13335"/>
            <wp:docPr id="6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3"/>
                    <pic:cNvPicPr>
                      <a:picLocks noChangeAspect="1"/>
                    </pic:cNvPicPr>
                  </pic:nvPicPr>
                  <pic:blipFill>
                    <a:blip r:embed="rId64"/>
                    <a:stretch>
                      <a:fillRect/>
                    </a:stretch>
                  </pic:blipFill>
                  <pic:spPr>
                    <a:xfrm>
                      <a:off x="0" y="0"/>
                      <a:ext cx="4671695" cy="2577465"/>
                    </a:xfrm>
                    <a:prstGeom prst="rect">
                      <a:avLst/>
                    </a:prstGeom>
                    <a:noFill/>
                    <a:ln w="9525">
                      <a:noFill/>
                    </a:ln>
                  </pic:spPr>
                </pic:pic>
              </a:graphicData>
            </a:graphic>
          </wp:inline>
        </w:drawing>
      </w:r>
    </w:p>
    <w:p>
      <w:pPr>
        <w:pStyle w:val="8"/>
        <w:spacing w:after="222" w:afterLines="50" w:line="320" w:lineRule="exact"/>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7</w:t>
      </w:r>
      <w:r>
        <w:rPr>
          <w:rFonts w:hint="eastAsia" w:ascii="Times New Roman" w:hAnsi="Times New Roman"/>
          <w:b/>
        </w:rPr>
        <w:t>　大王务断面化学需氧量浓度逐月变化</w:t>
      </w:r>
    </w:p>
    <w:p>
      <w:pPr>
        <w:pStyle w:val="8"/>
        <w:rPr>
          <w:rFonts w:ascii="Times New Roman" w:hAnsi="Times New Roman"/>
          <w:b/>
        </w:rPr>
      </w:pPr>
      <w:r>
        <w:rPr>
          <w:rFonts w:ascii="Times New Roman" w:hAnsi="Times New Roman"/>
          <w:b/>
        </w:rPr>
        <w:drawing>
          <wp:inline distT="0" distB="0" distL="114300" distR="114300">
            <wp:extent cx="4775835" cy="2641600"/>
            <wp:effectExtent l="0" t="0" r="5715" b="6350"/>
            <wp:docPr id="6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4"/>
                    <pic:cNvPicPr>
                      <a:picLocks noChangeAspect="1"/>
                    </pic:cNvPicPr>
                  </pic:nvPicPr>
                  <pic:blipFill>
                    <a:blip r:embed="rId65"/>
                    <a:stretch>
                      <a:fillRect/>
                    </a:stretch>
                  </pic:blipFill>
                  <pic:spPr>
                    <a:xfrm>
                      <a:off x="0" y="0"/>
                      <a:ext cx="4775835" cy="2641600"/>
                    </a:xfrm>
                    <a:prstGeom prst="rect">
                      <a:avLst/>
                    </a:prstGeom>
                    <a:noFill/>
                    <a:ln w="9525">
                      <a:noFill/>
                    </a:ln>
                  </pic:spPr>
                </pic:pic>
              </a:graphicData>
            </a:graphic>
          </wp:inline>
        </w:drawing>
      </w:r>
    </w:p>
    <w:p>
      <w:pPr>
        <w:pStyle w:val="8"/>
        <w:spacing w:before="133" w:beforeLines="30" w:after="222" w:afterLines="5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8</w:t>
      </w:r>
      <w:r>
        <w:rPr>
          <w:rFonts w:hint="eastAsia" w:ascii="Times New Roman" w:hAnsi="Times New Roman"/>
          <w:b/>
        </w:rPr>
        <w:t>　大王务断面高锰酸盐指数浓度逐月变化</w:t>
      </w:r>
    </w:p>
    <w:p>
      <w:pPr>
        <w:spacing w:line="590" w:lineRule="exact"/>
        <w:ind w:firstLine="640"/>
        <w:rPr>
          <w:rFonts w:eastAsia="仿宋_GB2312" w:cs="Times New Roman"/>
          <w:sz w:val="32"/>
          <w:szCs w:val="32"/>
        </w:rPr>
      </w:pPr>
      <w:r>
        <w:rPr>
          <w:rFonts w:eastAsia="仿宋_GB2312" w:cs="Times New Roman"/>
          <w:sz w:val="32"/>
          <w:szCs w:val="32"/>
        </w:rPr>
        <w:t>②其它断面</w:t>
      </w:r>
      <w:r>
        <w:rPr>
          <w:rFonts w:hint="eastAsia" w:eastAsia="仿宋_GB2312" w:cs="Times New Roman"/>
          <w:sz w:val="32"/>
          <w:szCs w:val="32"/>
        </w:rPr>
        <w:t>—</w:t>
      </w:r>
      <w:r>
        <w:rPr>
          <w:rFonts w:eastAsia="仿宋_GB2312" w:cs="Times New Roman"/>
          <w:sz w:val="32"/>
          <w:szCs w:val="32"/>
        </w:rPr>
        <w:t>八干渠大南旺</w:t>
      </w:r>
    </w:p>
    <w:p>
      <w:pPr>
        <w:spacing w:line="590" w:lineRule="exact"/>
        <w:ind w:firstLine="640"/>
        <w:rPr>
          <w:rFonts w:eastAsia="仿宋_GB2312" w:cs="Times New Roman"/>
          <w:sz w:val="32"/>
          <w:szCs w:val="32"/>
        </w:rPr>
      </w:pPr>
      <w:r>
        <w:rPr>
          <w:rFonts w:eastAsia="仿宋_GB2312" w:cs="Times New Roman"/>
          <w:sz w:val="32"/>
          <w:szCs w:val="32"/>
        </w:rPr>
        <w:t>以2017年1月</w:t>
      </w:r>
      <w:r>
        <w:rPr>
          <w:rFonts w:hint="eastAsia" w:eastAsia="仿宋_GB2312" w:cs="Times New Roman"/>
          <w:sz w:val="32"/>
          <w:szCs w:val="32"/>
        </w:rPr>
        <w:t>—</w:t>
      </w:r>
      <w:r>
        <w:rPr>
          <w:rFonts w:eastAsia="仿宋_GB2312" w:cs="Times New Roman"/>
          <w:sz w:val="32"/>
          <w:szCs w:val="32"/>
        </w:rPr>
        <w:t>2018年12月共24个月的水质监测数据作为分析依据，其监测及评价结果详见表5</w:t>
      </w:r>
      <w:r>
        <w:rPr>
          <w:rFonts w:hint="eastAsia" w:eastAsia="仿宋_GB2312" w:cs="Times New Roman"/>
          <w:sz w:val="32"/>
          <w:szCs w:val="32"/>
        </w:rPr>
        <w:t>-</w:t>
      </w:r>
      <w:r>
        <w:rPr>
          <w:rFonts w:eastAsia="仿宋_GB2312" w:cs="Times New Roman"/>
          <w:sz w:val="32"/>
          <w:szCs w:val="32"/>
        </w:rPr>
        <w:t>2。</w:t>
      </w:r>
    </w:p>
    <w:p>
      <w:pPr>
        <w:spacing w:line="590" w:lineRule="exact"/>
        <w:ind w:firstLine="640"/>
        <w:rPr>
          <w:rFonts w:eastAsia="仿宋_GB2312" w:cs="Times New Roman"/>
          <w:sz w:val="32"/>
          <w:szCs w:val="32"/>
        </w:rPr>
      </w:pPr>
      <w:r>
        <w:rPr>
          <w:rFonts w:eastAsia="仿宋_GB2312" w:cs="Times New Roman"/>
          <w:sz w:val="32"/>
          <w:szCs w:val="32"/>
        </w:rPr>
        <w:t>由下表可知，八干渠大南旺2017</w:t>
      </w:r>
      <w:r>
        <w:rPr>
          <w:rFonts w:hint="eastAsia" w:eastAsia="仿宋_GB2312" w:cs="Times New Roman"/>
          <w:sz w:val="32"/>
          <w:szCs w:val="32"/>
        </w:rPr>
        <w:t>—</w:t>
      </w:r>
      <w:r>
        <w:rPr>
          <w:rFonts w:eastAsia="仿宋_GB2312" w:cs="Times New Roman"/>
          <w:sz w:val="32"/>
          <w:szCs w:val="32"/>
        </w:rPr>
        <w:t>2018年水质类别均为劣Ⅴ类，主要超标因子为总磷、氨氮、生化需氧量、高锰酸盐指数和化学需氧量，2018年超标频率分别为100%、70%、40%、30%和30%，较2017年分别降低0、30、60、70和70个百分点。从具体水质指标来看，2018年生化需氧量、高锰酸盐指数、总磷、氨氮和化学需氧量年均浓度较2017年呈下降趋势，分别降低56.9%、52.8%、51.8%、47.7%和38.3%。上述超标污染物逐月浓度变化情况见下图。</w:t>
      </w:r>
    </w:p>
    <w:p>
      <w:pPr>
        <w:ind w:firstLine="480"/>
        <w:sectPr>
          <w:headerReference r:id="rId7" w:type="default"/>
          <w:footerReference r:id="rId8" w:type="default"/>
          <w:footerReference r:id="rId9" w:type="even"/>
          <w:pgSz w:w="11906" w:h="16838"/>
          <w:pgMar w:top="2098" w:right="1531" w:bottom="1474" w:left="1531" w:header="851" w:footer="850" w:gutter="0"/>
          <w:pgNumType w:start="207"/>
          <w:cols w:space="720" w:num="1"/>
          <w:docGrid w:type="lines" w:linePitch="444" w:charSpace="0"/>
        </w:sectPr>
      </w:pPr>
    </w:p>
    <w:p>
      <w:pPr>
        <w:pStyle w:val="8"/>
        <w:spacing w:after="217" w:afterLines="50" w:line="584" w:lineRule="exact"/>
        <w:rPr>
          <w:rFonts w:ascii="Times New Roman" w:hAnsi="Times New Roman" w:eastAsia="黑体"/>
          <w:bCs/>
          <w:sz w:val="32"/>
          <w:szCs w:val="32"/>
        </w:rPr>
      </w:pPr>
      <w:r>
        <w:rPr>
          <w:rFonts w:ascii="Times New Roman" w:hAnsi="黑体" w:eastAsia="黑体"/>
          <w:bCs/>
          <w:sz w:val="32"/>
          <w:szCs w:val="32"/>
        </w:rPr>
        <w:t>表</w:t>
      </w:r>
      <w:r>
        <w:rPr>
          <w:rFonts w:ascii="Times New Roman" w:hAnsi="Times New Roman" w:eastAsia="黑体"/>
          <w:bCs/>
          <w:sz w:val="32"/>
          <w:szCs w:val="32"/>
        </w:rPr>
        <w:t>5</w:t>
      </w:r>
      <w:r>
        <w:rPr>
          <w:rFonts w:ascii="Times New Roman" w:hAnsi="Times New Roman" w:eastAsia="黑体"/>
          <w:b/>
        </w:rPr>
        <w:t>-</w:t>
      </w:r>
      <w:r>
        <w:rPr>
          <w:rFonts w:ascii="Times New Roman" w:hAnsi="Times New Roman" w:eastAsia="黑体"/>
          <w:bCs/>
          <w:sz w:val="32"/>
          <w:szCs w:val="32"/>
        </w:rPr>
        <w:t>2  2017</w:t>
      </w:r>
      <w:r>
        <w:rPr>
          <w:rFonts w:ascii="Times New Roman" w:hAnsi="Times New Roman" w:eastAsia="黑体"/>
          <w:sz w:val="32"/>
          <w:szCs w:val="32"/>
        </w:rPr>
        <w:t>—</w:t>
      </w:r>
      <w:r>
        <w:rPr>
          <w:rFonts w:ascii="Times New Roman" w:hAnsi="Times New Roman" w:eastAsia="黑体"/>
          <w:bCs/>
          <w:sz w:val="32"/>
          <w:szCs w:val="32"/>
        </w:rPr>
        <w:t>2018</w:t>
      </w:r>
      <w:r>
        <w:rPr>
          <w:rFonts w:ascii="Times New Roman" w:hAnsi="黑体" w:eastAsia="黑体"/>
          <w:bCs/>
          <w:sz w:val="32"/>
          <w:szCs w:val="32"/>
        </w:rPr>
        <w:t>年八干渠</w:t>
      </w:r>
      <w:r>
        <w:rPr>
          <w:rFonts w:hint="eastAsia" w:ascii="Times New Roman" w:hAnsi="Times New Roman" w:eastAsia="黑体"/>
          <w:bCs/>
          <w:sz w:val="32"/>
          <w:szCs w:val="32"/>
        </w:rPr>
        <w:t>大南旺断面水质监测结果一览表</w:t>
      </w:r>
    </w:p>
    <w:tbl>
      <w:tblPr>
        <w:tblStyle w:val="11"/>
        <w:tblW w:w="13303" w:type="dxa"/>
        <w:jc w:val="center"/>
        <w:tblInd w:w="38" w:type="dxa"/>
        <w:tblLayout w:type="fixed"/>
        <w:tblCellMar>
          <w:top w:w="0" w:type="dxa"/>
          <w:left w:w="108" w:type="dxa"/>
          <w:bottom w:w="0" w:type="dxa"/>
          <w:right w:w="108" w:type="dxa"/>
        </w:tblCellMar>
      </w:tblPr>
      <w:tblGrid>
        <w:gridCol w:w="882"/>
        <w:gridCol w:w="921"/>
        <w:gridCol w:w="683"/>
        <w:gridCol w:w="683"/>
        <w:gridCol w:w="1045"/>
        <w:gridCol w:w="1044"/>
        <w:gridCol w:w="1045"/>
        <w:gridCol w:w="1045"/>
        <w:gridCol w:w="1044"/>
        <w:gridCol w:w="765"/>
        <w:gridCol w:w="4146"/>
      </w:tblGrid>
      <w:tr>
        <w:tblPrEx>
          <w:tblLayout w:type="fixed"/>
          <w:tblCellMar>
            <w:top w:w="0" w:type="dxa"/>
            <w:left w:w="108" w:type="dxa"/>
            <w:bottom w:w="0" w:type="dxa"/>
            <w:right w:w="108" w:type="dxa"/>
          </w:tblCellMar>
        </w:tblPrEx>
        <w:trPr>
          <w:trHeight w:val="915" w:hRule="atLeast"/>
          <w:tblHeader/>
          <w:jc w:val="center"/>
        </w:trPr>
        <w:tc>
          <w:tcPr>
            <w:tcW w:w="882" w:type="dxa"/>
            <w:tcBorders>
              <w:top w:val="single" w:color="auto" w:sz="4" w:space="0"/>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断面</w:t>
            </w:r>
          </w:p>
        </w:tc>
        <w:tc>
          <w:tcPr>
            <w:tcW w:w="921"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所在</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河流</w:t>
            </w:r>
          </w:p>
        </w:tc>
        <w:tc>
          <w:tcPr>
            <w:tcW w:w="683"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年</w:t>
            </w:r>
          </w:p>
        </w:tc>
        <w:tc>
          <w:tcPr>
            <w:tcW w:w="683"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月</w:t>
            </w:r>
          </w:p>
        </w:tc>
        <w:tc>
          <w:tcPr>
            <w:tcW w:w="104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溶解氧</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1044"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BOD</w:t>
            </w:r>
            <w:r>
              <w:rPr>
                <w:rFonts w:eastAsia="仿宋_GB2312" w:cs="Times New Roman"/>
                <w:b/>
                <w:w w:val="90"/>
                <w:sz w:val="21"/>
                <w:szCs w:val="21"/>
                <w:vertAlign w:val="subscript"/>
              </w:rPr>
              <w:t>5</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104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氨氮</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104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CODcr</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1044"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总磷</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（mg/L）</w:t>
            </w:r>
          </w:p>
        </w:tc>
        <w:tc>
          <w:tcPr>
            <w:tcW w:w="765"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水质</w:t>
            </w:r>
          </w:p>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类别</w:t>
            </w:r>
          </w:p>
        </w:tc>
        <w:tc>
          <w:tcPr>
            <w:tcW w:w="4146" w:type="dxa"/>
            <w:tcBorders>
              <w:top w:val="single" w:color="auto" w:sz="4" w:space="0"/>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b/>
                <w:w w:val="90"/>
                <w:sz w:val="21"/>
                <w:szCs w:val="21"/>
              </w:rPr>
            </w:pPr>
            <w:r>
              <w:rPr>
                <w:rFonts w:eastAsia="仿宋_GB2312" w:cs="Times New Roman"/>
                <w:b/>
                <w:w w:val="90"/>
                <w:sz w:val="21"/>
                <w:szCs w:val="21"/>
              </w:rPr>
              <w:t>超标因子和倍数</w:t>
            </w:r>
          </w:p>
        </w:tc>
      </w:tr>
      <w:tr>
        <w:tblPrEx>
          <w:tblLayout w:type="fixed"/>
          <w:tblCellMar>
            <w:top w:w="0" w:type="dxa"/>
            <w:left w:w="108" w:type="dxa"/>
            <w:bottom w:w="0" w:type="dxa"/>
            <w:right w:w="108" w:type="dxa"/>
          </w:tblCellMar>
        </w:tblPrEx>
        <w:trPr>
          <w:trHeight w:val="1189"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3</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34.2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22.60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98.2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7.30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溶解氧、高锰酸盐指数（0.7）、生化需氧量（2.4）、氨氮（10.3）、化学需氧量（1.5）、总磷（17.2）</w:t>
            </w:r>
          </w:p>
        </w:tc>
      </w:tr>
      <w:tr>
        <w:tblPrEx>
          <w:tblLayout w:type="fixed"/>
          <w:tblCellMar>
            <w:top w:w="0" w:type="dxa"/>
            <w:left w:w="108" w:type="dxa"/>
            <w:bottom w:w="0" w:type="dxa"/>
            <w:right w:w="108" w:type="dxa"/>
          </w:tblCellMar>
        </w:tblPrEx>
        <w:trPr>
          <w:trHeight w:val="1125"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4</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48.2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42.20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144.0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6.91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溶解氧、高锰酸盐指数（1.5）、生化需氧量（3.8）、氨氮（20.1）、化学需氧量（2.6）、总磷（16.3）</w:t>
            </w:r>
          </w:p>
        </w:tc>
      </w:tr>
      <w:tr>
        <w:tblPrEx>
          <w:tblLayout w:type="fixed"/>
          <w:tblCellMar>
            <w:top w:w="0" w:type="dxa"/>
            <w:left w:w="108" w:type="dxa"/>
            <w:bottom w:w="0" w:type="dxa"/>
            <w:right w:w="108" w:type="dxa"/>
          </w:tblCellMar>
        </w:tblPrEx>
        <w:trPr>
          <w:trHeight w:val="115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5</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41.6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25.30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115.4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3.78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溶解氧、高锰酸盐指数（1.2）、生化需氧量（3.2）、氨氮（11.7）、化学需氧量（1.9）、总磷（8.5）</w:t>
            </w:r>
          </w:p>
        </w:tc>
      </w:tr>
      <w:tr>
        <w:tblPrEx>
          <w:tblLayout w:type="fixed"/>
          <w:tblCellMar>
            <w:top w:w="0" w:type="dxa"/>
            <w:left w:w="108" w:type="dxa"/>
            <w:bottom w:w="0" w:type="dxa"/>
            <w:right w:w="108" w:type="dxa"/>
          </w:tblCellMar>
        </w:tblPrEx>
        <w:trPr>
          <w:trHeight w:val="1084"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6</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44.1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10.74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131.0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5.01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溶解氧、高锰酸盐指数（0.6）、生化需氧量（3.4）、氨氮（4.4）、化学需氧量（2.3）、总磷（11.5）</w:t>
            </w:r>
          </w:p>
        </w:tc>
      </w:tr>
      <w:tr>
        <w:tblPrEx>
          <w:tblLayout w:type="fixed"/>
          <w:tblCellMar>
            <w:top w:w="0" w:type="dxa"/>
            <w:left w:w="108" w:type="dxa"/>
            <w:bottom w:w="0" w:type="dxa"/>
            <w:right w:w="108" w:type="dxa"/>
          </w:tblCellMar>
        </w:tblPrEx>
        <w:trPr>
          <w:trHeight w:val="124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7</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25.7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19.40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76.5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2.83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溶解氧、高锰酸盐指数（0.03）、生化需氧量（1.6）、氨氮（8.7）、化学需氧量（0.9）、总磷（6.1）</w:t>
            </w:r>
          </w:p>
        </w:tc>
      </w:tr>
      <w:tr>
        <w:tblPrEx>
          <w:tblLayout w:type="fixed"/>
          <w:tblCellMar>
            <w:top w:w="0" w:type="dxa"/>
            <w:left w:w="108" w:type="dxa"/>
            <w:bottom w:w="0" w:type="dxa"/>
            <w:right w:w="108" w:type="dxa"/>
          </w:tblCellMar>
        </w:tblPrEx>
        <w:trPr>
          <w:trHeight w:val="1198"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8</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34.9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22.58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103.5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3.27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溶解氧、高锰酸盐指数（0.7）、生化需氧量（2.5）、氨氮（10.3）、化学需氧量（1.6）、总磷（7.2）</w:t>
            </w:r>
          </w:p>
        </w:tc>
      </w:tr>
      <w:tr>
        <w:tblPrEx>
          <w:tblLayout w:type="fixed"/>
          <w:tblCellMar>
            <w:top w:w="0" w:type="dxa"/>
            <w:left w:w="108" w:type="dxa"/>
            <w:bottom w:w="0" w:type="dxa"/>
            <w:right w:w="108" w:type="dxa"/>
          </w:tblCellMar>
        </w:tblPrEx>
        <w:trPr>
          <w:trHeight w:val="1044"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9</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34.3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22.95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101.5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3.55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溶解氧、高锰酸盐指数（0.4）、生化需氧量（2.4）、氨氮（10.5）、化学需氧量（1.5）、总磷（7.9）</w:t>
            </w:r>
          </w:p>
        </w:tc>
      </w:tr>
      <w:tr>
        <w:tblPrEx>
          <w:tblLayout w:type="fixed"/>
          <w:tblCellMar>
            <w:top w:w="0" w:type="dxa"/>
            <w:left w:w="108" w:type="dxa"/>
            <w:bottom w:w="0" w:type="dxa"/>
            <w:right w:w="108" w:type="dxa"/>
          </w:tblCellMar>
        </w:tblPrEx>
        <w:trPr>
          <w:trHeight w:val="1017"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10</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37.3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27.65 </w:t>
            </w:r>
          </w:p>
        </w:tc>
        <w:tc>
          <w:tcPr>
            <w:tcW w:w="104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115.0 </w:t>
            </w:r>
          </w:p>
        </w:tc>
        <w:tc>
          <w:tcPr>
            <w:tcW w:w="1044"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 xml:space="preserve">2.81 </w:t>
            </w:r>
          </w:p>
        </w:tc>
        <w:tc>
          <w:tcPr>
            <w:tcW w:w="765" w:type="dxa"/>
            <w:tcBorders>
              <w:top w:val="nil"/>
              <w:left w:val="nil"/>
              <w:bottom w:val="single" w:color="auto" w:sz="4" w:space="0"/>
              <w:right w:val="single" w:color="auto" w:sz="4" w:space="0"/>
            </w:tcBorders>
            <w:vAlign w:val="center"/>
          </w:tcPr>
          <w:p>
            <w:pPr>
              <w:snapToGrid w:val="0"/>
              <w:spacing w:line="290" w:lineRule="exact"/>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90" w:lineRule="exact"/>
              <w:ind w:firstLine="0" w:firstLineChars="0"/>
              <w:jc w:val="left"/>
              <w:rPr>
                <w:rFonts w:eastAsia="仿宋_GB2312" w:cs="Times New Roman"/>
                <w:sz w:val="21"/>
                <w:szCs w:val="21"/>
              </w:rPr>
            </w:pPr>
            <w:r>
              <w:rPr>
                <w:rFonts w:eastAsia="仿宋_GB2312" w:cs="Times New Roman"/>
                <w:sz w:val="21"/>
                <w:szCs w:val="21"/>
              </w:rPr>
              <w:t>溶解氧、高锰酸盐指数（1.1）、生化需氧量（2.7）、氨氮（12.8）、化学需氧量（1.9）、总磷（6）</w:t>
            </w:r>
          </w:p>
        </w:tc>
      </w:tr>
      <w:tr>
        <w:tblPrEx>
          <w:tblLayout w:type="fixed"/>
          <w:tblCellMar>
            <w:top w:w="0" w:type="dxa"/>
            <w:left w:w="108" w:type="dxa"/>
            <w:bottom w:w="0" w:type="dxa"/>
            <w:right w:w="108" w:type="dxa"/>
          </w:tblCellMar>
        </w:tblPrEx>
        <w:trPr>
          <w:trHeight w:val="1058"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55.5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36.75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165.0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3.81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溶解氧、高锰酸盐指数（2.1）、生化需氧量（4.6）、氨氮（17.4）、化学需氧量（3.1）、总磷（8.5）</w:t>
            </w:r>
          </w:p>
        </w:tc>
      </w:tr>
      <w:tr>
        <w:tblPrEx>
          <w:tblLayout w:type="fixed"/>
          <w:tblCellMar>
            <w:top w:w="0" w:type="dxa"/>
            <w:left w:w="108" w:type="dxa"/>
            <w:bottom w:w="0" w:type="dxa"/>
            <w:right w:w="108" w:type="dxa"/>
          </w:tblCellMar>
        </w:tblPrEx>
        <w:trPr>
          <w:trHeight w:val="877"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49.9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37.60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163.0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4.36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溶解氧、高锰酸盐指数（0.4）、生化需氧量（4）、氨氮（17.8）、化学需氧量（3.1）、总磷（9.9）</w:t>
            </w:r>
          </w:p>
        </w:tc>
      </w:tr>
      <w:tr>
        <w:tblPrEx>
          <w:tblLayout w:type="fixed"/>
          <w:tblCellMar>
            <w:top w:w="0" w:type="dxa"/>
            <w:left w:w="108" w:type="dxa"/>
            <w:bottom w:w="0" w:type="dxa"/>
            <w:right w:w="108" w:type="dxa"/>
          </w:tblCellMar>
        </w:tblPrEx>
        <w:trPr>
          <w:trHeight w:val="95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2017</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40.5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26.78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121.3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4.36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溶解氧、高锰酸盐指数（0.9）、生化需氧量（3.1）、氨氮（12.4）、化学需氧量（2）、总磷（9.9）</w:t>
            </w:r>
          </w:p>
        </w:tc>
      </w:tr>
      <w:tr>
        <w:tblPrEx>
          <w:tblLayout w:type="fixed"/>
          <w:tblCellMar>
            <w:top w:w="0" w:type="dxa"/>
            <w:left w:w="108" w:type="dxa"/>
            <w:bottom w:w="0" w:type="dxa"/>
            <w:right w:w="108" w:type="dxa"/>
          </w:tblCellMar>
        </w:tblPrEx>
        <w:trPr>
          <w:trHeight w:val="977"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3</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0.10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40.8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43.30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180.5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4.97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溶解氧、高锰酸盐指数（0.7）、生化需氧量（3.1）、氨氮（20.7）、化学需氧量（3.5）、总磷（11.4）</w:t>
            </w:r>
          </w:p>
        </w:tc>
      </w:tr>
      <w:tr>
        <w:tblPrEx>
          <w:tblLayout w:type="fixed"/>
          <w:tblCellMar>
            <w:top w:w="0" w:type="dxa"/>
            <w:left w:w="108" w:type="dxa"/>
            <w:bottom w:w="0" w:type="dxa"/>
            <w:right w:w="108" w:type="dxa"/>
          </w:tblCellMar>
        </w:tblPrEx>
        <w:trPr>
          <w:trHeight w:val="99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4</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0.49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42.3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43.65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213.0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2.25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溶解氧、高锰酸盐指数（1.5）、生化需氧量（3.2）、氨氮（20.8）、化学需氧量（4.3）、总磷（4.6）</w:t>
            </w:r>
          </w:p>
        </w:tc>
      </w:tr>
      <w:tr>
        <w:tblPrEx>
          <w:tblLayout w:type="fixed"/>
          <w:tblCellMar>
            <w:top w:w="0" w:type="dxa"/>
            <w:left w:w="108" w:type="dxa"/>
            <w:bottom w:w="0" w:type="dxa"/>
            <w:right w:w="108" w:type="dxa"/>
          </w:tblCellMar>
        </w:tblPrEx>
        <w:trPr>
          <w:trHeight w:val="889"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5</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2.66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27.7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16.05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105.0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1.78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高锰酸盐指数（0.2）、生化需氧量（1.8）、氨氮（7）、化学需氧量（1.6）、总磷（3.4）</w:t>
            </w:r>
          </w:p>
        </w:tc>
      </w:tr>
      <w:tr>
        <w:tblPrEx>
          <w:tblLayout w:type="fixed"/>
          <w:tblCellMar>
            <w:top w:w="0" w:type="dxa"/>
            <w:left w:w="108" w:type="dxa"/>
            <w:bottom w:w="0" w:type="dxa"/>
            <w:right w:w="108" w:type="dxa"/>
          </w:tblCellMar>
        </w:tblPrEx>
        <w:trPr>
          <w:trHeight w:val="963"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6</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6.16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1.63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22.0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1.13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总磷（1.8）</w:t>
            </w:r>
          </w:p>
        </w:tc>
      </w:tr>
      <w:tr>
        <w:tblPrEx>
          <w:tblLayout w:type="fixed"/>
          <w:tblCellMar>
            <w:top w:w="0" w:type="dxa"/>
            <w:left w:w="108" w:type="dxa"/>
            <w:bottom w:w="0" w:type="dxa"/>
            <w:right w:w="108" w:type="dxa"/>
          </w:tblCellMar>
        </w:tblPrEx>
        <w:trPr>
          <w:trHeight w:val="883"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7</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2.66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8.6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2.43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29.0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1.41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氨氮（0.2）、总磷（2.5）</w:t>
            </w:r>
          </w:p>
        </w:tc>
      </w:tr>
      <w:tr>
        <w:tblPrEx>
          <w:tblLayout w:type="fixed"/>
          <w:tblCellMar>
            <w:top w:w="0" w:type="dxa"/>
            <w:left w:w="108" w:type="dxa"/>
            <w:bottom w:w="0" w:type="dxa"/>
            <w:right w:w="108" w:type="dxa"/>
          </w:tblCellMar>
        </w:tblPrEx>
        <w:trPr>
          <w:trHeight w:val="883"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8</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5.98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6.4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1.87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27.0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2.08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总磷（4.2）</w:t>
            </w:r>
          </w:p>
        </w:tc>
      </w:tr>
      <w:tr>
        <w:tblPrEx>
          <w:tblLayout w:type="fixed"/>
          <w:tblCellMar>
            <w:top w:w="0" w:type="dxa"/>
            <w:left w:w="108" w:type="dxa"/>
            <w:bottom w:w="0" w:type="dxa"/>
            <w:right w:w="108" w:type="dxa"/>
          </w:tblCellMar>
        </w:tblPrEx>
        <w:trPr>
          <w:trHeight w:val="976"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9</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5.49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6.4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2.16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26.0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1.78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氨氮（0.1）、总磷（3.5）、氟化物（0.1）</w:t>
            </w:r>
          </w:p>
        </w:tc>
      </w:tr>
      <w:tr>
        <w:tblPrEx>
          <w:tblLayout w:type="fixed"/>
          <w:tblCellMar>
            <w:top w:w="0" w:type="dxa"/>
            <w:left w:w="108" w:type="dxa"/>
            <w:bottom w:w="0" w:type="dxa"/>
            <w:right w:w="108" w:type="dxa"/>
          </w:tblCellMar>
        </w:tblPrEx>
        <w:trPr>
          <w:trHeight w:val="91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10</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4.79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1.25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21.0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1.12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总磷（1.8）</w:t>
            </w:r>
          </w:p>
        </w:tc>
      </w:tr>
      <w:tr>
        <w:tblPrEx>
          <w:tblLayout w:type="fixed"/>
          <w:tblCellMar>
            <w:top w:w="0" w:type="dxa"/>
            <w:left w:w="108" w:type="dxa"/>
            <w:bottom w:w="0" w:type="dxa"/>
            <w:right w:w="108" w:type="dxa"/>
          </w:tblCellMar>
        </w:tblPrEx>
        <w:trPr>
          <w:trHeight w:val="1016"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11</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2.16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10.5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8.55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39.0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1.96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生化需氧量（0.04）、氨氮（3.3）、总磷（3.9）</w:t>
            </w:r>
          </w:p>
        </w:tc>
      </w:tr>
      <w:tr>
        <w:tblPrEx>
          <w:tblLayout w:type="fixed"/>
          <w:tblCellMar>
            <w:top w:w="0" w:type="dxa"/>
            <w:left w:w="108" w:type="dxa"/>
            <w:bottom w:w="0" w:type="dxa"/>
            <w:right w:w="108" w:type="dxa"/>
          </w:tblCellMar>
        </w:tblPrEx>
        <w:trPr>
          <w:trHeight w:val="962"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12</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1.01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8.3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6.76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35.5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2.05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溶解氧、氨氮（2.4）、总磷（4.1）</w:t>
            </w:r>
          </w:p>
        </w:tc>
      </w:tr>
      <w:tr>
        <w:tblPrEx>
          <w:tblLayout w:type="fixed"/>
          <w:tblCellMar>
            <w:top w:w="0" w:type="dxa"/>
            <w:left w:w="108" w:type="dxa"/>
            <w:bottom w:w="0" w:type="dxa"/>
            <w:right w:w="108" w:type="dxa"/>
          </w:tblCellMar>
        </w:tblPrEx>
        <w:trPr>
          <w:trHeight w:val="1170" w:hRule="atLeast"/>
          <w:jc w:val="center"/>
        </w:trPr>
        <w:tc>
          <w:tcPr>
            <w:tcW w:w="882" w:type="dxa"/>
            <w:tcBorders>
              <w:top w:val="nil"/>
              <w:left w:val="single" w:color="auto" w:sz="4" w:space="0"/>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大南旺</w:t>
            </w:r>
          </w:p>
        </w:tc>
        <w:tc>
          <w:tcPr>
            <w:tcW w:w="921"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八干渠</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2018</w:t>
            </w:r>
          </w:p>
        </w:tc>
        <w:tc>
          <w:tcPr>
            <w:tcW w:w="683"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年均</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2.90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17.5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14.01 </w:t>
            </w:r>
          </w:p>
        </w:tc>
        <w:tc>
          <w:tcPr>
            <w:tcW w:w="104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74.9 </w:t>
            </w:r>
          </w:p>
        </w:tc>
        <w:tc>
          <w:tcPr>
            <w:tcW w:w="1044"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 xml:space="preserve">2.10 </w:t>
            </w:r>
          </w:p>
        </w:tc>
        <w:tc>
          <w:tcPr>
            <w:tcW w:w="765" w:type="dxa"/>
            <w:tcBorders>
              <w:top w:val="nil"/>
              <w:left w:val="nil"/>
              <w:bottom w:val="single" w:color="auto" w:sz="4" w:space="0"/>
              <w:right w:val="single" w:color="auto" w:sz="4" w:space="0"/>
            </w:tcBorders>
            <w:vAlign w:val="center"/>
          </w:tcPr>
          <w:p>
            <w:pPr>
              <w:snapToGrid w:val="0"/>
              <w:spacing w:line="240" w:lineRule="auto"/>
              <w:ind w:firstLine="0" w:firstLineChars="0"/>
              <w:jc w:val="center"/>
              <w:rPr>
                <w:rFonts w:eastAsia="仿宋_GB2312" w:cs="Times New Roman"/>
                <w:sz w:val="21"/>
                <w:szCs w:val="21"/>
              </w:rPr>
            </w:pPr>
            <w:r>
              <w:rPr>
                <w:rFonts w:eastAsia="仿宋_GB2312" w:cs="Times New Roman"/>
                <w:sz w:val="21"/>
                <w:szCs w:val="21"/>
              </w:rPr>
              <w:t>劣Ⅴ</w:t>
            </w:r>
          </w:p>
        </w:tc>
        <w:tc>
          <w:tcPr>
            <w:tcW w:w="4146" w:type="dxa"/>
            <w:tcBorders>
              <w:top w:val="nil"/>
              <w:left w:val="nil"/>
              <w:bottom w:val="single" w:color="auto" w:sz="4" w:space="0"/>
              <w:right w:val="single" w:color="auto" w:sz="4" w:space="0"/>
            </w:tcBorders>
            <w:vAlign w:val="center"/>
          </w:tcPr>
          <w:p>
            <w:pPr>
              <w:snapToGrid w:val="0"/>
              <w:spacing w:line="240" w:lineRule="auto"/>
              <w:ind w:firstLine="0" w:firstLineChars="0"/>
              <w:jc w:val="left"/>
              <w:rPr>
                <w:rFonts w:eastAsia="仿宋_GB2312" w:cs="Times New Roman"/>
                <w:sz w:val="21"/>
                <w:szCs w:val="21"/>
              </w:rPr>
            </w:pPr>
            <w:r>
              <w:rPr>
                <w:rFonts w:eastAsia="仿宋_GB2312" w:cs="Times New Roman"/>
                <w:sz w:val="21"/>
                <w:szCs w:val="21"/>
              </w:rPr>
              <w:t>生化需氧量（0.7）、氨氮（6）、化学需氧量（0.9）、总磷（4.3）</w:t>
            </w:r>
          </w:p>
        </w:tc>
      </w:tr>
    </w:tbl>
    <w:p>
      <w:pPr>
        <w:spacing w:line="14" w:lineRule="exact"/>
        <w:ind w:firstLine="480"/>
      </w:pPr>
    </w:p>
    <w:p>
      <w:pPr>
        <w:ind w:firstLine="480"/>
        <w:sectPr>
          <w:footerReference r:id="rId10" w:type="default"/>
          <w:footerReference r:id="rId11" w:type="even"/>
          <w:pgSz w:w="16838" w:h="11906" w:orient="landscape"/>
          <w:pgMar w:top="1531" w:right="1985" w:bottom="1531" w:left="1474" w:header="851" w:footer="850" w:gutter="0"/>
          <w:cols w:space="720" w:num="1"/>
          <w:docGrid w:type="lines" w:linePitch="435" w:charSpace="0"/>
        </w:sectPr>
      </w:pPr>
    </w:p>
    <w:p>
      <w:pPr>
        <w:pStyle w:val="8"/>
        <w:rPr>
          <w:rFonts w:ascii="Times New Roman" w:hAnsi="Times New Roman"/>
        </w:rPr>
      </w:pPr>
      <w:r>
        <w:rPr>
          <w:rFonts w:ascii="Times New Roman" w:hAnsi="Times New Roman"/>
        </w:rPr>
        <w:drawing>
          <wp:inline distT="0" distB="0" distL="114300" distR="114300">
            <wp:extent cx="4754880" cy="2988310"/>
            <wp:effectExtent l="0" t="0" r="7620" b="2540"/>
            <wp:docPr id="6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5"/>
                    <pic:cNvPicPr>
                      <a:picLocks noChangeAspect="1"/>
                    </pic:cNvPicPr>
                  </pic:nvPicPr>
                  <pic:blipFill>
                    <a:blip r:embed="rId66"/>
                    <a:stretch>
                      <a:fillRect/>
                    </a:stretch>
                  </pic:blipFill>
                  <pic:spPr>
                    <a:xfrm>
                      <a:off x="0" y="0"/>
                      <a:ext cx="4754880" cy="2988310"/>
                    </a:xfrm>
                    <a:prstGeom prst="rect">
                      <a:avLst/>
                    </a:prstGeom>
                    <a:noFill/>
                    <a:ln w="9525">
                      <a:noFill/>
                    </a:ln>
                  </pic:spPr>
                </pic:pic>
              </a:graphicData>
            </a:graphic>
          </wp:inline>
        </w:drawing>
      </w:r>
    </w:p>
    <w:p>
      <w:pPr>
        <w:pStyle w:val="8"/>
        <w:spacing w:after="221" w:afterLines="50"/>
        <w:rPr>
          <w:rFonts w:hint="eastAsia"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9</w:t>
      </w:r>
      <w:r>
        <w:rPr>
          <w:rFonts w:hint="eastAsia" w:ascii="Times New Roman" w:hAnsi="Times New Roman"/>
          <w:b/>
        </w:rPr>
        <w:t>　八干渠大南旺断面总磷浓度逐月变化</w:t>
      </w:r>
    </w:p>
    <w:p>
      <w:pPr>
        <w:ind w:firstLine="480"/>
        <w:rPr>
          <w:rFonts w:hint="eastAsia"/>
        </w:rPr>
      </w:pPr>
    </w:p>
    <w:p>
      <w:pPr>
        <w:pStyle w:val="8"/>
        <w:rPr>
          <w:rFonts w:ascii="Times New Roman" w:hAnsi="Times New Roman"/>
          <w:b/>
        </w:rPr>
      </w:pPr>
      <w:r>
        <w:rPr>
          <w:rFonts w:ascii="Times New Roman" w:hAnsi="Times New Roman"/>
          <w:b/>
        </w:rPr>
        <w:drawing>
          <wp:inline distT="0" distB="0" distL="114300" distR="114300">
            <wp:extent cx="4754880" cy="2985135"/>
            <wp:effectExtent l="0" t="0" r="7620" b="5715"/>
            <wp:docPr id="6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6"/>
                    <pic:cNvPicPr>
                      <a:picLocks noChangeAspect="1"/>
                    </pic:cNvPicPr>
                  </pic:nvPicPr>
                  <pic:blipFill>
                    <a:blip r:embed="rId67"/>
                    <a:stretch>
                      <a:fillRect/>
                    </a:stretch>
                  </pic:blipFill>
                  <pic:spPr>
                    <a:xfrm>
                      <a:off x="0" y="0"/>
                      <a:ext cx="4754880" cy="2985135"/>
                    </a:xfrm>
                    <a:prstGeom prst="rect">
                      <a:avLst/>
                    </a:prstGeom>
                    <a:noFill/>
                    <a:ln w="9525">
                      <a:noFill/>
                    </a:ln>
                  </pic:spPr>
                </pic:pic>
              </a:graphicData>
            </a:graphic>
          </wp:inline>
        </w:drawing>
      </w:r>
    </w:p>
    <w:p>
      <w:pPr>
        <w:pStyle w:val="8"/>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10</w:t>
      </w:r>
      <w:r>
        <w:rPr>
          <w:rFonts w:hint="eastAsia" w:ascii="Times New Roman" w:hAnsi="Times New Roman"/>
          <w:b/>
        </w:rPr>
        <w:t>　八干渠大南旺断面氨氮浓度逐月变化</w:t>
      </w:r>
    </w:p>
    <w:p>
      <w:pPr>
        <w:pStyle w:val="8"/>
        <w:rPr>
          <w:rFonts w:ascii="Times New Roman" w:hAnsi="Times New Roman"/>
          <w:b/>
        </w:rPr>
      </w:pPr>
      <w:r>
        <w:rPr>
          <w:rFonts w:ascii="Times New Roman" w:hAnsi="Times New Roman"/>
          <w:b/>
        </w:rPr>
        <w:drawing>
          <wp:inline distT="0" distB="0" distL="114300" distR="114300">
            <wp:extent cx="5591175" cy="3496945"/>
            <wp:effectExtent l="0" t="0" r="9525" b="8255"/>
            <wp:docPr id="6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7"/>
                    <pic:cNvPicPr>
                      <a:picLocks noChangeAspect="1"/>
                    </pic:cNvPicPr>
                  </pic:nvPicPr>
                  <pic:blipFill>
                    <a:blip r:embed="rId68"/>
                    <a:stretch>
                      <a:fillRect/>
                    </a:stretch>
                  </pic:blipFill>
                  <pic:spPr>
                    <a:xfrm>
                      <a:off x="0" y="0"/>
                      <a:ext cx="5591175" cy="3496945"/>
                    </a:xfrm>
                    <a:prstGeom prst="rect">
                      <a:avLst/>
                    </a:prstGeom>
                    <a:noFill/>
                    <a:ln w="9525">
                      <a:noFill/>
                    </a:ln>
                  </pic:spPr>
                </pic:pic>
              </a:graphicData>
            </a:graphic>
          </wp:inline>
        </w:drawing>
      </w:r>
    </w:p>
    <w:p>
      <w:pPr>
        <w:pStyle w:val="8"/>
        <w:spacing w:after="221" w:afterLines="50"/>
        <w:rPr>
          <w:rFonts w:ascii="Times New Roman" w:hAnsi="Times New Roman"/>
          <w:b/>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11</w:t>
      </w:r>
      <w:r>
        <w:rPr>
          <w:rFonts w:hint="eastAsia" w:ascii="Times New Roman" w:hAnsi="Times New Roman"/>
          <w:b/>
        </w:rPr>
        <w:t>　八干渠大南旺断面化学需氧量浓度逐月变化</w:t>
      </w:r>
    </w:p>
    <w:p>
      <w:pPr>
        <w:pStyle w:val="8"/>
        <w:rPr>
          <w:rFonts w:ascii="Times New Roman" w:hAnsi="Times New Roman"/>
          <w:b/>
        </w:rPr>
      </w:pPr>
      <w:r>
        <w:rPr>
          <w:rFonts w:ascii="Times New Roman" w:hAnsi="Times New Roman"/>
          <w:b/>
        </w:rPr>
        <w:drawing>
          <wp:inline distT="0" distB="0" distL="114300" distR="114300">
            <wp:extent cx="5591175" cy="3496945"/>
            <wp:effectExtent l="0" t="0" r="9525" b="8255"/>
            <wp:docPr id="6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88"/>
                    <pic:cNvPicPr>
                      <a:picLocks noChangeAspect="1"/>
                    </pic:cNvPicPr>
                  </pic:nvPicPr>
                  <pic:blipFill>
                    <a:blip r:embed="rId69"/>
                    <a:stretch>
                      <a:fillRect/>
                    </a:stretch>
                  </pic:blipFill>
                  <pic:spPr>
                    <a:xfrm>
                      <a:off x="0" y="0"/>
                      <a:ext cx="5591175" cy="3496945"/>
                    </a:xfrm>
                    <a:prstGeom prst="rect">
                      <a:avLst/>
                    </a:prstGeom>
                    <a:noFill/>
                    <a:ln w="9525">
                      <a:noFill/>
                    </a:ln>
                  </pic:spPr>
                </pic:pic>
              </a:graphicData>
            </a:graphic>
          </wp:inline>
        </w:drawing>
      </w:r>
    </w:p>
    <w:p>
      <w:pPr>
        <w:pStyle w:val="8"/>
        <w:rPr>
          <w:rFonts w:ascii="Times New Roman" w:hAnsi="Times New Roman"/>
          <w:b/>
        </w:rPr>
      </w:pPr>
      <w:r>
        <w:rPr>
          <w:rStyle w:val="13"/>
          <w:rFonts w:hint="eastAsia" w:ascii="Times New Roman" w:hAnsi="Times New Roman"/>
          <w:b/>
        </w:rPr>
        <w:t>图</w:t>
      </w:r>
      <w:r>
        <w:rPr>
          <w:rStyle w:val="13"/>
          <w:rFonts w:ascii="Times New Roman" w:hAnsi="Times New Roman"/>
          <w:b/>
        </w:rPr>
        <w:t>5</w:t>
      </w:r>
      <w:r>
        <w:rPr>
          <w:rFonts w:hint="eastAsia" w:ascii="Times New Roman" w:hAnsi="Times New Roman"/>
          <w:b/>
        </w:rPr>
        <w:t>-</w:t>
      </w:r>
      <w:r>
        <w:rPr>
          <w:rStyle w:val="13"/>
          <w:rFonts w:ascii="Times New Roman" w:hAnsi="Times New Roman"/>
          <w:b/>
        </w:rPr>
        <w:t>12</w:t>
      </w:r>
      <w:r>
        <w:rPr>
          <w:rStyle w:val="13"/>
          <w:rFonts w:hint="eastAsia" w:ascii="Times New Roman" w:hAnsi="Times New Roman"/>
          <w:b/>
        </w:rPr>
        <w:t>　八干渠大南旺断面生化需氧量浓度逐月</w:t>
      </w:r>
      <w:r>
        <w:rPr>
          <w:rFonts w:hint="eastAsia" w:ascii="Times New Roman" w:hAnsi="Times New Roman"/>
          <w:b/>
        </w:rPr>
        <w:t>变化</w:t>
      </w:r>
    </w:p>
    <w:p>
      <w:pPr>
        <w:pStyle w:val="8"/>
        <w:rPr>
          <w:rFonts w:ascii="Times New Roman" w:hAnsi="Times New Roman"/>
          <w:b/>
        </w:rPr>
      </w:pPr>
      <w:r>
        <w:rPr>
          <w:rFonts w:ascii="Times New Roman" w:hAnsi="Times New Roman"/>
          <w:b/>
        </w:rPr>
        <w:drawing>
          <wp:inline distT="0" distB="0" distL="114300" distR="114300">
            <wp:extent cx="5360035" cy="3352165"/>
            <wp:effectExtent l="0" t="0" r="12065" b="635"/>
            <wp:docPr id="6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89"/>
                    <pic:cNvPicPr>
                      <a:picLocks noChangeAspect="1"/>
                    </pic:cNvPicPr>
                  </pic:nvPicPr>
                  <pic:blipFill>
                    <a:blip r:embed="rId70"/>
                    <a:stretch>
                      <a:fillRect/>
                    </a:stretch>
                  </pic:blipFill>
                  <pic:spPr>
                    <a:xfrm>
                      <a:off x="0" y="0"/>
                      <a:ext cx="5360035" cy="3352165"/>
                    </a:xfrm>
                    <a:prstGeom prst="rect">
                      <a:avLst/>
                    </a:prstGeom>
                    <a:noFill/>
                    <a:ln w="9525">
                      <a:noFill/>
                    </a:ln>
                  </pic:spPr>
                </pic:pic>
              </a:graphicData>
            </a:graphic>
          </wp:inline>
        </w:drawing>
      </w:r>
    </w:p>
    <w:p>
      <w:pPr>
        <w:pStyle w:val="8"/>
        <w:spacing w:after="132" w:afterLines="30"/>
        <w:rPr>
          <w:rFonts w:ascii="Times New Roman" w:hAnsi="Times New Roman"/>
        </w:rPr>
      </w:pPr>
      <w:r>
        <w:rPr>
          <w:rFonts w:hint="eastAsia" w:ascii="Times New Roman" w:hAnsi="Times New Roman"/>
          <w:b/>
        </w:rPr>
        <w:t>图</w:t>
      </w:r>
      <w:r>
        <w:rPr>
          <w:rFonts w:ascii="Times New Roman" w:hAnsi="Times New Roman"/>
          <w:b/>
        </w:rPr>
        <w:t>5</w:t>
      </w:r>
      <w:r>
        <w:rPr>
          <w:rFonts w:hint="eastAsia" w:ascii="Times New Roman" w:hAnsi="Times New Roman"/>
          <w:b/>
        </w:rPr>
        <w:t>-</w:t>
      </w:r>
      <w:r>
        <w:rPr>
          <w:rFonts w:ascii="Times New Roman" w:hAnsi="Times New Roman"/>
          <w:b/>
        </w:rPr>
        <w:t>13</w:t>
      </w:r>
      <w:r>
        <w:rPr>
          <w:rFonts w:hint="eastAsia" w:ascii="Times New Roman" w:hAnsi="Times New Roman"/>
          <w:b/>
        </w:rPr>
        <w:t>　八干渠大南旺断面溶解氧浓度逐月变化</w:t>
      </w:r>
    </w:p>
    <w:p>
      <w:pPr>
        <w:pStyle w:val="3"/>
        <w:spacing w:line="590" w:lineRule="exact"/>
        <w:ind w:firstLine="643"/>
        <w:rPr>
          <w:rFonts w:eastAsia="楷体_GB2312"/>
        </w:rPr>
      </w:pPr>
      <w:bookmarkStart w:id="109" w:name="_Toc21613515"/>
      <w:r>
        <w:rPr>
          <w:rFonts w:eastAsia="楷体_GB2312"/>
        </w:rPr>
        <w:t>5.3</w:t>
      </w:r>
      <w:r>
        <w:rPr>
          <w:rFonts w:hint="eastAsia" w:eastAsia="楷体_GB2312"/>
        </w:rPr>
        <w:t>工程实施情况</w:t>
      </w:r>
      <w:bookmarkEnd w:id="109"/>
    </w:p>
    <w:p>
      <w:pPr>
        <w:pStyle w:val="4"/>
        <w:spacing w:line="590" w:lineRule="exact"/>
        <w:ind w:firstLine="643"/>
      </w:pPr>
      <w:bookmarkStart w:id="110" w:name="_Toc21613516"/>
      <w:r>
        <w:t>5.3.1</w:t>
      </w:r>
      <w:r>
        <w:rPr>
          <w:rFonts w:hint="eastAsia"/>
        </w:rPr>
        <w:t>已完成工程项目</w:t>
      </w:r>
      <w:bookmarkEnd w:id="110"/>
    </w:p>
    <w:p>
      <w:pPr>
        <w:spacing w:line="590" w:lineRule="exact"/>
        <w:ind w:firstLine="640"/>
        <w:rPr>
          <w:rFonts w:eastAsia="仿宋_GB2312" w:cs="Times New Roman"/>
          <w:sz w:val="32"/>
          <w:szCs w:val="32"/>
        </w:rPr>
      </w:pPr>
      <w:r>
        <w:rPr>
          <w:rFonts w:eastAsia="仿宋_GB2312" w:cs="Times New Roman"/>
          <w:sz w:val="32"/>
          <w:szCs w:val="32"/>
        </w:rPr>
        <w:t>龙河及环城水系主要针对城区污染源治理、农村分散污染源治理、生活垃圾治理、畜禽养殖污染治理、河道综合治理与生态修复、环境监管能力建设共完成项目26个（含方案外1项和调整内容1项），主要涵盖城镇污水处理设施建设、截污管网完善、分散污水处理设施建设、生活垃圾收运体系、畜禽养殖粪污治理、河道清淤与人工湿地、环境监管能力建设等工程。具体项目清单见表</w:t>
      </w:r>
      <w:r>
        <w:rPr>
          <w:rFonts w:cs="Times New Roman"/>
          <w:sz w:val="32"/>
          <w:szCs w:val="32"/>
        </w:rPr>
        <w:t>5-</w:t>
      </w:r>
      <w:r>
        <w:rPr>
          <w:rFonts w:eastAsia="仿宋_GB2312" w:cs="Times New Roman"/>
          <w:sz w:val="32"/>
          <w:szCs w:val="32"/>
        </w:rPr>
        <w:t>4。</w:t>
      </w:r>
    </w:p>
    <w:p>
      <w:pPr>
        <w:spacing w:line="590" w:lineRule="exact"/>
        <w:ind w:firstLine="640"/>
        <w:rPr>
          <w:rFonts w:eastAsia="仿宋_GB2312" w:cs="Times New Roman"/>
          <w:sz w:val="32"/>
          <w:szCs w:val="32"/>
        </w:rPr>
      </w:pPr>
      <w:r>
        <w:rPr>
          <w:rFonts w:eastAsia="仿宋_GB2312" w:cs="Times New Roman"/>
          <w:sz w:val="32"/>
          <w:szCs w:val="32"/>
        </w:rPr>
        <w:t>（1）城镇污水处理设施建设工程4项</w:t>
      </w:r>
    </w:p>
    <w:p>
      <w:pPr>
        <w:spacing w:line="590" w:lineRule="exact"/>
        <w:ind w:firstLine="640"/>
        <w:rPr>
          <w:rFonts w:eastAsia="仿宋_GB2312" w:cs="Times New Roman"/>
          <w:sz w:val="32"/>
          <w:szCs w:val="32"/>
        </w:rPr>
      </w:pPr>
      <w:r>
        <w:rPr>
          <w:rFonts w:eastAsia="仿宋_GB2312" w:cs="Times New Roman"/>
          <w:sz w:val="32"/>
          <w:szCs w:val="32"/>
        </w:rPr>
        <w:t>城镇污水处理设施建设包括万庄污水处理厂及配套管网完善工程，在左场村建设处理规模为2万吨/日的污水处理厂（一期），公用设施按4万吨/日标准建设（目前该服务范围内产生生活污水较少，2万吨/日处理能力已能满足该区域生活污水处理）；铁路以北处理厂新建工程及配套管网完善工程，在京山铁路以北，大枣林村以西建设污水处理厂，规模为5万吨/日；凯发新泉污水处理厂二期工程，扩建6万吨/日污水处理能力。环城水系应急污水处理设施为采用临时租赁第三方污水处理设施进行处理，目前原方案中需处理的污水已通过截污管网输送到已建城镇污水处理厂进行处理。</w:t>
      </w:r>
    </w:p>
    <w:p>
      <w:pPr>
        <w:spacing w:line="590" w:lineRule="exact"/>
        <w:ind w:firstLine="640"/>
        <w:rPr>
          <w:rFonts w:eastAsia="仿宋_GB2312" w:cs="Times New Roman"/>
          <w:sz w:val="32"/>
          <w:szCs w:val="32"/>
        </w:rPr>
      </w:pPr>
      <w:r>
        <w:rPr>
          <w:rFonts w:eastAsia="仿宋_GB2312" w:cs="Times New Roman"/>
          <w:sz w:val="32"/>
          <w:szCs w:val="32"/>
        </w:rPr>
        <w:t>（2）截污管网完善工程3项</w:t>
      </w:r>
    </w:p>
    <w:p>
      <w:pPr>
        <w:spacing w:line="590" w:lineRule="exact"/>
        <w:ind w:firstLine="640"/>
        <w:rPr>
          <w:rFonts w:eastAsia="仿宋_GB2312" w:cs="Times New Roman"/>
          <w:sz w:val="32"/>
          <w:szCs w:val="32"/>
        </w:rPr>
      </w:pPr>
      <w:r>
        <w:rPr>
          <w:rFonts w:eastAsia="仿宋_GB2312" w:cs="Times New Roman"/>
          <w:sz w:val="32"/>
          <w:szCs w:val="32"/>
        </w:rPr>
        <w:t>截污管网完善包括龙河沿岸截污管网完善工程（铺设25.5公里截污管道）、凯发新泉污水处理厂收水范围内管网完善工程（铺设11公里收水管网）、城区管网完善工程（铺设69.5公里排水管道）。</w:t>
      </w:r>
    </w:p>
    <w:p>
      <w:pPr>
        <w:spacing w:line="590" w:lineRule="exact"/>
        <w:ind w:firstLine="640"/>
        <w:rPr>
          <w:rFonts w:eastAsia="仿宋_GB2312" w:cs="Times New Roman"/>
          <w:sz w:val="32"/>
          <w:szCs w:val="32"/>
        </w:rPr>
      </w:pPr>
      <w:r>
        <w:rPr>
          <w:rFonts w:eastAsia="仿宋_GB2312" w:cs="Times New Roman"/>
          <w:sz w:val="32"/>
          <w:szCs w:val="32"/>
        </w:rPr>
        <w:t>（3）分散污水处理设施建设工程3项</w:t>
      </w:r>
    </w:p>
    <w:p>
      <w:pPr>
        <w:spacing w:line="590" w:lineRule="exact"/>
        <w:ind w:firstLine="640"/>
        <w:rPr>
          <w:rFonts w:eastAsia="仿宋_GB2312" w:cs="Times New Roman"/>
          <w:sz w:val="32"/>
          <w:szCs w:val="32"/>
        </w:rPr>
      </w:pPr>
      <w:r>
        <w:rPr>
          <w:rFonts w:eastAsia="仿宋_GB2312" w:cs="Times New Roman"/>
          <w:sz w:val="32"/>
          <w:szCs w:val="32"/>
        </w:rPr>
        <w:t>分散污水处理设施建设包括5个村庄分散型污水处理设施建设，建设5个分散型污水处理设施，处理规模共有440吨/日；龙河沿岸村庄分散型污水处理设施建设工程，建设24个分散型处理设施，其中有5个村街已搬迁，较大的5个村街建设了4个分散型污水处理设施，其余18个沿线村街建设庭院式污水收集处理装置约2700套。方案外龙河及环城干渠“傍水”村庄生活污水治理，建设3座日处理能力160吨污水处理站。</w:t>
      </w:r>
    </w:p>
    <w:p>
      <w:pPr>
        <w:spacing w:line="590" w:lineRule="exact"/>
        <w:ind w:firstLine="640"/>
        <w:rPr>
          <w:rFonts w:eastAsia="仿宋_GB2312" w:cs="Times New Roman"/>
          <w:sz w:val="32"/>
          <w:szCs w:val="32"/>
        </w:rPr>
      </w:pPr>
      <w:r>
        <w:rPr>
          <w:rFonts w:eastAsia="仿宋_GB2312" w:cs="Times New Roman"/>
          <w:sz w:val="32"/>
          <w:szCs w:val="32"/>
        </w:rPr>
        <w:t>（4）生活垃圾收运体系工程5项</w:t>
      </w:r>
    </w:p>
    <w:p>
      <w:pPr>
        <w:spacing w:line="590" w:lineRule="exact"/>
        <w:ind w:firstLine="616"/>
        <w:rPr>
          <w:rFonts w:eastAsia="仿宋_GB2312" w:cs="Times New Roman"/>
          <w:spacing w:val="-6"/>
          <w:sz w:val="32"/>
          <w:szCs w:val="32"/>
        </w:rPr>
      </w:pPr>
      <w:r>
        <w:rPr>
          <w:rFonts w:eastAsia="仿宋_GB2312" w:cs="Times New Roman"/>
          <w:spacing w:val="-6"/>
          <w:sz w:val="32"/>
          <w:szCs w:val="32"/>
        </w:rPr>
        <w:t>生活垃圾收运体系包括龙河流域范围内垃圾收运体系构建、龙河沿岸村庄垃圾收集站建设、龙河沿岸村庄垃圾箱配备，在龙河沿岸村庄建设垃圾收集站、配备垃圾收运车、垃圾箱等；环城水系河道垃圾打捞，大皮营引渠、六干渠和八干渠配备专人打捞垃圾；环城水系垃圾拦污网设置，在环城水系重要节点拉建拦污网。</w:t>
      </w:r>
    </w:p>
    <w:p>
      <w:pPr>
        <w:spacing w:line="590" w:lineRule="exact"/>
        <w:ind w:firstLine="640"/>
        <w:rPr>
          <w:rFonts w:eastAsia="仿宋_GB2312" w:cs="Times New Roman"/>
          <w:sz w:val="32"/>
          <w:szCs w:val="32"/>
        </w:rPr>
      </w:pPr>
      <w:r>
        <w:rPr>
          <w:rFonts w:eastAsia="仿宋_GB2312" w:cs="Times New Roman"/>
          <w:sz w:val="32"/>
          <w:szCs w:val="32"/>
        </w:rPr>
        <w:t>（5）畜禽养殖粪污治理工程2项</w:t>
      </w:r>
    </w:p>
    <w:p>
      <w:pPr>
        <w:spacing w:line="590" w:lineRule="exact"/>
        <w:ind w:firstLine="640"/>
        <w:rPr>
          <w:rFonts w:eastAsia="仿宋_GB2312" w:cs="Times New Roman"/>
          <w:sz w:val="32"/>
          <w:szCs w:val="32"/>
        </w:rPr>
      </w:pPr>
      <w:r>
        <w:rPr>
          <w:rFonts w:eastAsia="仿宋_GB2312" w:cs="Times New Roman"/>
          <w:sz w:val="32"/>
          <w:szCs w:val="32"/>
        </w:rPr>
        <w:t>畜禽养殖粪污治理包括河北康达畜禽养殖有限公司有机肥生产项目、15家畜禽养殖场进行粪便/尿污储存设施的完善，分别建设有机肥生产线、6家养殖场建设粪便储存设施、9家养殖场建设尿液污水储存设施。</w:t>
      </w:r>
    </w:p>
    <w:p>
      <w:pPr>
        <w:spacing w:line="590" w:lineRule="exact"/>
        <w:ind w:firstLine="640"/>
        <w:rPr>
          <w:rFonts w:eastAsia="仿宋_GB2312" w:cs="Times New Roman"/>
          <w:sz w:val="32"/>
          <w:szCs w:val="32"/>
        </w:rPr>
      </w:pPr>
      <w:r>
        <w:rPr>
          <w:rFonts w:eastAsia="仿宋_GB2312" w:cs="Times New Roman"/>
          <w:sz w:val="32"/>
          <w:szCs w:val="32"/>
        </w:rPr>
        <w:t>（6）河道清淤与人工湿地工程6项</w:t>
      </w:r>
    </w:p>
    <w:p>
      <w:pPr>
        <w:spacing w:line="590" w:lineRule="exact"/>
        <w:ind w:firstLine="640"/>
        <w:rPr>
          <w:rFonts w:eastAsia="仿宋_GB2312" w:cs="Times New Roman"/>
          <w:sz w:val="32"/>
          <w:szCs w:val="32"/>
        </w:rPr>
      </w:pPr>
      <w:r>
        <w:rPr>
          <w:rFonts w:eastAsia="仿宋_GB2312" w:cs="Times New Roman"/>
          <w:sz w:val="32"/>
          <w:szCs w:val="32"/>
        </w:rPr>
        <w:t>河道清淤与人工湿地包括大皮营引渠、六干渠、八干渠河道清淤工程（共清淤15万方），东张务人工湿地工程，龙河三小营至西辛庄河段、西辛庄至东张务河段河道清淤工程（共清淤70万方）。</w:t>
      </w:r>
    </w:p>
    <w:p>
      <w:pPr>
        <w:spacing w:line="590" w:lineRule="exact"/>
        <w:ind w:firstLine="640"/>
        <w:rPr>
          <w:rFonts w:eastAsia="仿宋_GB2312" w:cs="Times New Roman"/>
          <w:sz w:val="32"/>
          <w:szCs w:val="32"/>
        </w:rPr>
      </w:pPr>
      <w:r>
        <w:rPr>
          <w:rFonts w:eastAsia="仿宋_GB2312" w:cs="Times New Roman"/>
          <w:sz w:val="32"/>
          <w:szCs w:val="32"/>
        </w:rPr>
        <w:t>（7）环境监管能力建设工程3项</w:t>
      </w:r>
    </w:p>
    <w:p>
      <w:pPr>
        <w:spacing w:line="590" w:lineRule="exact"/>
        <w:ind w:firstLine="640"/>
        <w:rPr>
          <w:rFonts w:eastAsia="仿宋_GB2312" w:cs="Times New Roman"/>
          <w:sz w:val="32"/>
          <w:szCs w:val="32"/>
        </w:rPr>
      </w:pPr>
      <w:r>
        <w:rPr>
          <w:rFonts w:eastAsia="仿宋_GB2312" w:cs="Times New Roman"/>
          <w:sz w:val="32"/>
          <w:szCs w:val="32"/>
        </w:rPr>
        <w:t>环境监管能力建设包括原廊坊市环保局、安次区环保局、广阳区环保局环境监管能力建设项目，为购买环境监测设备、实验器材、环境监察专用车，增设环保监督岗位及招纳相关工作人员。</w:t>
      </w:r>
    </w:p>
    <w:bookmarkEnd w:id="107"/>
    <w:p>
      <w:pPr>
        <w:pStyle w:val="2"/>
        <w:ind w:firstLine="640"/>
        <w:jc w:val="center"/>
        <w:sectPr>
          <w:footerReference r:id="rId12" w:type="default"/>
          <w:footerReference r:id="rId13" w:type="even"/>
          <w:pgSz w:w="11906" w:h="16838"/>
          <w:pgMar w:top="2098" w:right="1531" w:bottom="1474" w:left="1531" w:header="851" w:footer="850" w:gutter="0"/>
          <w:cols w:space="720" w:num="1"/>
          <w:docGrid w:type="lines" w:linePitch="442" w:charSpace="0"/>
        </w:sectPr>
      </w:pPr>
      <w:bookmarkStart w:id="111" w:name="_Toc9781138"/>
    </w:p>
    <w:p>
      <w:pPr>
        <w:pStyle w:val="8"/>
        <w:spacing w:after="217" w:afterLines="50" w:line="600" w:lineRule="exact"/>
        <w:rPr>
          <w:rFonts w:ascii="Times New Roman" w:hAnsi="Times New Roman" w:eastAsia="黑体"/>
          <w:bCs/>
          <w:sz w:val="32"/>
          <w:szCs w:val="32"/>
        </w:rPr>
      </w:pPr>
      <w:r>
        <w:rPr>
          <w:rFonts w:ascii="Times New Roman" w:hAnsi="Times New Roman" w:eastAsia="黑体"/>
          <w:bCs/>
          <w:sz w:val="32"/>
          <w:szCs w:val="32"/>
        </w:rPr>
        <w:t xml:space="preserve">表5-4  </w:t>
      </w:r>
      <w:r>
        <w:rPr>
          <w:rFonts w:hint="eastAsia" w:ascii="Times New Roman" w:hAnsi="Times New Roman" w:eastAsia="黑体"/>
          <w:bCs/>
          <w:sz w:val="32"/>
          <w:szCs w:val="32"/>
        </w:rPr>
        <w:t>已完成项目清单</w:t>
      </w:r>
    </w:p>
    <w:tbl>
      <w:tblPr>
        <w:tblStyle w:val="11"/>
        <w:tblW w:w="132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5"/>
        <w:gridCol w:w="993"/>
        <w:gridCol w:w="1417"/>
        <w:gridCol w:w="1275"/>
        <w:gridCol w:w="1134"/>
        <w:gridCol w:w="1528"/>
        <w:gridCol w:w="882"/>
        <w:gridCol w:w="2643"/>
        <w:gridCol w:w="1327"/>
        <w:gridCol w:w="708"/>
        <w:gridCol w:w="6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6" w:hRule="atLeast"/>
          <w:tblHeader/>
          <w:jc w:val="center"/>
        </w:trPr>
        <w:tc>
          <w:tcPr>
            <w:tcW w:w="675"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序号</w:t>
            </w:r>
          </w:p>
        </w:tc>
        <w:tc>
          <w:tcPr>
            <w:tcW w:w="993"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隶属</w:t>
            </w:r>
          </w:p>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关系</w:t>
            </w:r>
          </w:p>
        </w:tc>
        <w:tc>
          <w:tcPr>
            <w:tcW w:w="1417"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项目类型</w:t>
            </w:r>
          </w:p>
        </w:tc>
        <w:tc>
          <w:tcPr>
            <w:tcW w:w="1275"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项目名称</w:t>
            </w:r>
          </w:p>
        </w:tc>
        <w:tc>
          <w:tcPr>
            <w:tcW w:w="1134"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建设地点</w:t>
            </w:r>
          </w:p>
        </w:tc>
        <w:tc>
          <w:tcPr>
            <w:tcW w:w="1528"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建设周期</w:t>
            </w:r>
          </w:p>
        </w:tc>
        <w:tc>
          <w:tcPr>
            <w:tcW w:w="882" w:type="dxa"/>
            <w:vAlign w:val="center"/>
          </w:tcPr>
          <w:p>
            <w:pPr>
              <w:widowControl/>
              <w:snapToGrid w:val="0"/>
              <w:spacing w:line="240" w:lineRule="auto"/>
              <w:ind w:firstLine="0" w:firstLineChars="0"/>
              <w:jc w:val="center"/>
              <w:rPr>
                <w:rFonts w:hint="eastAsia" w:eastAsia="仿宋_GB2312" w:cs="Times New Roman"/>
                <w:b/>
                <w:bCs/>
                <w:kern w:val="0"/>
                <w:sz w:val="21"/>
                <w:szCs w:val="21"/>
              </w:rPr>
            </w:pPr>
            <w:r>
              <w:rPr>
                <w:rFonts w:eastAsia="仿宋_GB2312" w:cs="Times New Roman"/>
                <w:b/>
                <w:bCs/>
                <w:kern w:val="0"/>
                <w:sz w:val="21"/>
                <w:szCs w:val="21"/>
              </w:rPr>
              <w:t>承担</w:t>
            </w:r>
          </w:p>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单位</w:t>
            </w:r>
          </w:p>
        </w:tc>
        <w:tc>
          <w:tcPr>
            <w:tcW w:w="2643"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项目建设规模与内容</w:t>
            </w:r>
          </w:p>
        </w:tc>
        <w:tc>
          <w:tcPr>
            <w:tcW w:w="1327"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项目</w:t>
            </w:r>
          </w:p>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总投资</w:t>
            </w:r>
          </w:p>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（万元）</w:t>
            </w:r>
          </w:p>
        </w:tc>
        <w:tc>
          <w:tcPr>
            <w:tcW w:w="708"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关联水体</w:t>
            </w:r>
          </w:p>
        </w:tc>
        <w:tc>
          <w:tcPr>
            <w:tcW w:w="646" w:type="dxa"/>
            <w:vAlign w:val="center"/>
          </w:tcPr>
          <w:p>
            <w:pPr>
              <w:widowControl/>
              <w:snapToGrid w:val="0"/>
              <w:spacing w:line="240" w:lineRule="auto"/>
              <w:ind w:firstLine="0" w:firstLineChars="0"/>
              <w:jc w:val="center"/>
              <w:rPr>
                <w:rFonts w:eastAsia="仿宋_GB2312" w:cs="Times New Roman"/>
                <w:b/>
                <w:bCs/>
                <w:kern w:val="0"/>
                <w:sz w:val="21"/>
                <w:szCs w:val="21"/>
              </w:rPr>
            </w:pPr>
            <w:r>
              <w:rPr>
                <w:rFonts w:eastAsia="仿宋_GB2312" w:cs="Times New Roman"/>
                <w:b/>
                <w:bCs/>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9" w:hRule="atLeast"/>
          <w:jc w:val="center"/>
        </w:trPr>
        <w:tc>
          <w:tcPr>
            <w:tcW w:w="13228" w:type="dxa"/>
            <w:gridSpan w:val="11"/>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w:t>
            </w:r>
            <w:r>
              <w:rPr>
                <w:rFonts w:hint="eastAsia" w:eastAsia="仿宋_GB2312" w:cs="Times New Roman"/>
                <w:b/>
                <w:kern w:val="0"/>
                <w:sz w:val="21"/>
                <w:szCs w:val="21"/>
              </w:rPr>
              <w:t>-</w:t>
            </w:r>
            <w:r>
              <w:rPr>
                <w:rFonts w:eastAsia="仿宋_GB2312" w:cs="Times New Roman"/>
                <w:b/>
                <w:kern w:val="0"/>
                <w:sz w:val="21"/>
                <w:szCs w:val="21"/>
              </w:rPr>
              <w:t>流域污染源治理类型项目小计（龙河）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35"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集中式污水处理设施建设及配套管网工程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凯发新泉污水处理厂收水范围内管网完善工程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龙河经济开发区</w:t>
            </w:r>
          </w:p>
        </w:tc>
        <w:tc>
          <w:tcPr>
            <w:tcW w:w="1528"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建设从芒店一村/二村至西昌路约1.5公里的排水管；建设从西辛庄村、古县村、芦庄村到爱民西道约4.5公里的排水管；将董常甫村、亭子头村、肖辛庄村的生活污水接管至凯发新泉污水处理厂，管网长度约为5公里。</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4725</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调整内容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6"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集中式污水处理设施建设及配套管网工程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龙河沿岸截污管网完善工程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龙河沿岸</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沿龙河岸铺设25.5公里截污管道。</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8160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3"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分散型污水处理设施建设工程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龙河沿岸村庄分散型污水处理设施建设工程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龙河沿岸</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建设24个分散型处理设施，处理规模共有1680吨/日。</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2250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24"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垃圾污染治理工程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龙河沿岸村庄垃圾收集站建设</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龙河沿岸</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每村建设一个垃圾收集站，共46</w:t>
            </w:r>
            <w:r>
              <w:rPr>
                <w:rFonts w:hint="eastAsia" w:eastAsia="仿宋_GB2312" w:cs="Times New Roman"/>
                <w:kern w:val="0"/>
                <w:sz w:val="21"/>
                <w:szCs w:val="21"/>
              </w:rPr>
              <w:t>个</w:t>
            </w:r>
            <w:r>
              <w:rPr>
                <w:rFonts w:eastAsia="仿宋_GB2312" w:cs="Times New Roman"/>
                <w:kern w:val="0"/>
                <w:sz w:val="21"/>
                <w:szCs w:val="21"/>
              </w:rPr>
              <w:t>垃圾收集站。</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18.4</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7"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垃圾污染治理工程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龙河流域范围内垃圾收运体系构建</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龙河流域</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共需要购买2辆专用垃圾车、46辆小型三轮电动垃圾车。</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56</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98"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垃圾污染治理工程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龙河沿岸村庄垃圾箱配备</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龙河沿岸</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共需要购买630个垃圾箱。</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31.5</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19"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农业源污染治理工程</w:t>
            </w:r>
          </w:p>
        </w:tc>
        <w:tc>
          <w:tcPr>
            <w:tcW w:w="1275" w:type="dxa"/>
            <w:vAlign w:val="center"/>
          </w:tcPr>
          <w:p>
            <w:pPr>
              <w:widowControl/>
              <w:snapToGrid w:val="0"/>
              <w:spacing w:line="240" w:lineRule="auto"/>
              <w:ind w:firstLine="0" w:firstLineChars="0"/>
              <w:rPr>
                <w:rFonts w:eastAsia="仿宋_GB2312" w:cs="Times New Roman"/>
                <w:spacing w:val="-6"/>
                <w:w w:val="95"/>
                <w:kern w:val="0"/>
                <w:sz w:val="21"/>
                <w:szCs w:val="21"/>
              </w:rPr>
            </w:pPr>
            <w:r>
              <w:rPr>
                <w:rFonts w:eastAsia="仿宋_GB2312" w:cs="Times New Roman"/>
                <w:spacing w:val="-6"/>
                <w:w w:val="95"/>
                <w:kern w:val="0"/>
                <w:sz w:val="21"/>
                <w:szCs w:val="21"/>
              </w:rPr>
              <w:t>河北康达畜禽养殖有限公司有机肥生产项目</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建设有机肥生产线。</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1"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农业源污染治理工程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15家畜禽养殖场进行粪便/尿污储存设施的完善</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广阳区/安次区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其中有6家养殖场建设粪便储存设施；9家养殖场建设尿液污水储存设施。</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750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84"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分散型污水处理设施建设工程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龙河及环城干渠“傍水”村庄生活污水治理</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大伍龙村、彭庄村、大枣林村和龙河入境源头区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3座日处理能力160吨污水处理站和龙河入境源头区水质改善设施的建设。</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1210.67</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龙河及环城干渠</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方案外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50" w:hRule="atLeast"/>
          <w:jc w:val="center"/>
        </w:trPr>
        <w:tc>
          <w:tcPr>
            <w:tcW w:w="13228" w:type="dxa"/>
            <w:gridSpan w:val="11"/>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kern w:val="0"/>
                <w:sz w:val="21"/>
                <w:szCs w:val="21"/>
              </w:rPr>
              <w:t>　</w:t>
            </w:r>
            <w:r>
              <w:rPr>
                <w:rFonts w:eastAsia="仿宋_GB2312" w:cs="Times New Roman"/>
                <w:b/>
                <w:kern w:val="0"/>
                <w:sz w:val="21"/>
                <w:szCs w:val="21"/>
              </w:rPr>
              <w:t>2</w:t>
            </w:r>
            <w:r>
              <w:rPr>
                <w:rFonts w:hint="eastAsia" w:eastAsia="仿宋_GB2312" w:cs="Times New Roman"/>
                <w:b/>
                <w:kern w:val="0"/>
                <w:sz w:val="21"/>
                <w:szCs w:val="21"/>
              </w:rPr>
              <w:t>-</w:t>
            </w:r>
            <w:r>
              <w:rPr>
                <w:rFonts w:eastAsia="仿宋_GB2312" w:cs="Times New Roman"/>
                <w:b/>
                <w:kern w:val="0"/>
                <w:sz w:val="21"/>
                <w:szCs w:val="21"/>
              </w:rPr>
              <w:t>流域生态修复与保护类型项目小计（龙河）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40"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湿地工程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东张务人工湿地工程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在龙河下游东张务村附近建设用于净化河道水质的人工湿地。</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10300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19"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河道清淤工程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龙河三小营至西辛庄河段河道清淤工程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广阳区政府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采用干挖法对龙河三小营至西辛庄河段进行工程量为11万方的清淤。</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660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9"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河道清淤工程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龙河西辛庄至东张务河段河道清淤工程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highlight w:val="yellow"/>
              </w:rPr>
            </w:pPr>
            <w:r>
              <w:rPr>
                <w:rFonts w:eastAsia="仿宋_GB2312" w:cs="Times New Roman"/>
                <w:kern w:val="0"/>
                <w:sz w:val="21"/>
                <w:szCs w:val="21"/>
              </w:rPr>
              <w:t>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采用干挖法对龙河西辛庄至东张务河段进行工程量为60.4万方的清淤。</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3020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3" w:hRule="atLeast"/>
          <w:jc w:val="center"/>
        </w:trPr>
        <w:tc>
          <w:tcPr>
            <w:tcW w:w="13228" w:type="dxa"/>
            <w:gridSpan w:val="11"/>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b/>
                <w:kern w:val="0"/>
                <w:sz w:val="21"/>
                <w:szCs w:val="21"/>
              </w:rPr>
              <w:t>　</w:t>
            </w:r>
            <w:r>
              <w:rPr>
                <w:rFonts w:eastAsia="仿宋" w:cs="Times New Roman"/>
                <w:b/>
                <w:kern w:val="0"/>
                <w:sz w:val="21"/>
                <w:szCs w:val="21"/>
              </w:rPr>
              <w:t>3-</w:t>
            </w:r>
            <w:r>
              <w:rPr>
                <w:rFonts w:eastAsia="仿宋_GB2312" w:cs="Times New Roman"/>
                <w:b/>
                <w:kern w:val="0"/>
                <w:sz w:val="21"/>
                <w:szCs w:val="21"/>
              </w:rPr>
              <w:t>环境监管能力建设类型项目小计（龙河）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37"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环境监管能力建设</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安次区环保局环境监管能力建设项目</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安次区政府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购买环境监测设备、实验器材、环境监察专用车，增设环保监督岗位及招纳相关工作人员。</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5" w:hRule="atLeast"/>
          <w:jc w:val="center"/>
        </w:trPr>
        <w:tc>
          <w:tcPr>
            <w:tcW w:w="13228" w:type="dxa"/>
            <w:gridSpan w:val="11"/>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1</w:t>
            </w:r>
            <w:r>
              <w:rPr>
                <w:rFonts w:hint="eastAsia" w:eastAsia="仿宋_GB2312" w:cs="Times New Roman"/>
                <w:b/>
                <w:kern w:val="0"/>
                <w:sz w:val="21"/>
                <w:szCs w:val="21"/>
              </w:rPr>
              <w:t>-</w:t>
            </w:r>
            <w:r>
              <w:rPr>
                <w:rFonts w:eastAsia="仿宋_GB2312" w:cs="Times New Roman"/>
                <w:b/>
                <w:kern w:val="0"/>
                <w:sz w:val="21"/>
                <w:szCs w:val="21"/>
              </w:rPr>
              <w:t>流域污染源治理类型项目小计（环城水系）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73"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集中式污水处理设施建设及配套管网工程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万庄污水处理厂及配套管网完善工程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左场村</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在左场村建设处理规模为4万吨/日的污水处理厂。</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100000（其中污水处理厂建设费用20000万元）</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大皮营引渠</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604"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集中式污水处理设施建设及配套管网工程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铁路以北处理厂新建工程及配套管网完善工程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京山铁路以北，大枣林村以西</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2019</w:t>
            </w:r>
            <w:r>
              <w:rPr>
                <w:rFonts w:eastAsia="仿宋_GB2312" w:cs="Times New Roman"/>
                <w:b/>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在京山铁路以北，大枣林村以西建设污水处理厂，规模为5万吨/日。</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100000（其中污水处理厂建设费用20000万元）</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八干渠</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96"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凯发新泉污水处理厂二期工程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龙河经济开发区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2018</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扩建现有的凯发新泉污水处理厂，扩建规模为6万吨/日。</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老龙河</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06"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993" w:type="dxa"/>
            <w:vAlign w:val="center"/>
          </w:tcPr>
          <w:p>
            <w:pPr>
              <w:widowControl/>
              <w:snapToGrid w:val="0"/>
              <w:spacing w:line="240" w:lineRule="auto"/>
              <w:ind w:firstLine="0" w:firstLineChars="0"/>
              <w:jc w:val="center"/>
              <w:rPr>
                <w:rFonts w:hint="eastAsia" w:eastAsia="仿宋_GB2312" w:cs="Times New Roman"/>
                <w:kern w:val="0"/>
                <w:sz w:val="21"/>
                <w:szCs w:val="21"/>
              </w:rPr>
            </w:pPr>
            <w:r>
              <w:rPr>
                <w:rFonts w:eastAsia="仿宋_GB2312" w:cs="Times New Roman"/>
                <w:kern w:val="0"/>
                <w:sz w:val="21"/>
                <w:szCs w:val="21"/>
              </w:rPr>
              <w:t>中心</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集中式污水处理设施建设及配套管网工程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城区管网完善工程</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铺设69.5公里排水管道。</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17200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城区水系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43"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分散型污水处理设施建设工程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5个村庄分散型污水处理设施建设</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建设5个分散型污水处理设施，处理规模共有440吨/日。</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220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八干渠</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87"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6</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应急污染治理工程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环城水系应急污水处理设施</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住建局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在六干渠与八干渠交汇口建设应急处理设施，设计规模8000吨/日；在益民道泵站处理建设应急处理设施，</w:t>
            </w:r>
            <w:r>
              <w:rPr>
                <w:rFonts w:hint="eastAsia" w:eastAsia="仿宋_GB2312" w:cs="Times New Roman"/>
                <w:kern w:val="0"/>
                <w:sz w:val="21"/>
                <w:szCs w:val="21"/>
              </w:rPr>
              <w:t>设计规模</w:t>
            </w:r>
            <w:r>
              <w:rPr>
                <w:rFonts w:eastAsia="仿宋_GB2312" w:cs="Times New Roman"/>
                <w:kern w:val="0"/>
                <w:sz w:val="21"/>
                <w:szCs w:val="21"/>
              </w:rPr>
              <w:t>30000吨/日。</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35"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垃圾污染治理工程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环城水系河道垃圾打捞</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水利局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大皮营引渠、六干渠和八干</w:t>
            </w:r>
            <w:r>
              <w:rPr>
                <w:rFonts w:hint="eastAsia" w:eastAsia="仿宋_GB2312" w:cs="Times New Roman"/>
                <w:kern w:val="0"/>
                <w:sz w:val="21"/>
                <w:szCs w:val="21"/>
              </w:rPr>
              <w:t>渠</w:t>
            </w:r>
            <w:r>
              <w:rPr>
                <w:rFonts w:eastAsia="仿宋_GB2312" w:cs="Times New Roman"/>
                <w:kern w:val="0"/>
                <w:sz w:val="21"/>
                <w:szCs w:val="21"/>
              </w:rPr>
              <w:t>共分为5段，每段配有专人负责垃圾打捞。</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18.12</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24"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8</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垃圾污染治理工程</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环城水系垃圾拦污网设置</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廊坊市</w:t>
            </w:r>
          </w:p>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水利局</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在环城水系重要节点拉建拦污网</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atLeast"/>
          <w:jc w:val="center"/>
        </w:trPr>
        <w:tc>
          <w:tcPr>
            <w:tcW w:w="13228" w:type="dxa"/>
            <w:gridSpan w:val="11"/>
            <w:vAlign w:val="center"/>
          </w:tcPr>
          <w:p>
            <w:pPr>
              <w:widowControl/>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2</w:t>
            </w:r>
            <w:r>
              <w:rPr>
                <w:rFonts w:hint="eastAsia" w:eastAsia="仿宋_GB2312" w:cs="Times New Roman"/>
                <w:b/>
                <w:kern w:val="0"/>
                <w:sz w:val="21"/>
                <w:szCs w:val="21"/>
              </w:rPr>
              <w:t>-</w:t>
            </w:r>
            <w:r>
              <w:rPr>
                <w:rFonts w:eastAsia="仿宋_GB2312" w:cs="Times New Roman"/>
                <w:b/>
                <w:kern w:val="0"/>
                <w:sz w:val="21"/>
                <w:szCs w:val="21"/>
              </w:rPr>
              <w:t>流域生态修复与保护类型项目小计（环城水系）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0" w:hRule="atLeast"/>
          <w:jc w:val="center"/>
        </w:trPr>
        <w:tc>
          <w:tcPr>
            <w:tcW w:w="675" w:type="dxa"/>
            <w:vAlign w:val="center"/>
          </w:tcPr>
          <w:p>
            <w:pPr>
              <w:widowControl/>
              <w:snapToGrid w:val="0"/>
              <w:spacing w:line="50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河道清淤工程</w:t>
            </w:r>
          </w:p>
        </w:tc>
        <w:tc>
          <w:tcPr>
            <w:tcW w:w="1275"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大皮营引渠河道清淤工程</w:t>
            </w:r>
          </w:p>
        </w:tc>
        <w:tc>
          <w:tcPr>
            <w:tcW w:w="1134"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2018</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采用泵吸式对大皮营引渠进行工程量为3.7万方的清淤。</w:t>
            </w:r>
          </w:p>
        </w:tc>
        <w:tc>
          <w:tcPr>
            <w:tcW w:w="1327"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185</w:t>
            </w:r>
          </w:p>
        </w:tc>
        <w:tc>
          <w:tcPr>
            <w:tcW w:w="70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70" w:hRule="atLeast"/>
          <w:jc w:val="center"/>
        </w:trPr>
        <w:tc>
          <w:tcPr>
            <w:tcW w:w="675" w:type="dxa"/>
            <w:vAlign w:val="center"/>
          </w:tcPr>
          <w:p>
            <w:pPr>
              <w:widowControl/>
              <w:snapToGrid w:val="0"/>
              <w:spacing w:line="500" w:lineRule="exact"/>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93"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河道清淤工程</w:t>
            </w:r>
          </w:p>
        </w:tc>
        <w:tc>
          <w:tcPr>
            <w:tcW w:w="1275"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六干渠引渠河道清淤工程</w:t>
            </w:r>
          </w:p>
        </w:tc>
        <w:tc>
          <w:tcPr>
            <w:tcW w:w="1134"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2018</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采用泵吸式对六干渠引渠进行工程量为1.4万方的清淤。</w:t>
            </w:r>
          </w:p>
        </w:tc>
        <w:tc>
          <w:tcPr>
            <w:tcW w:w="1327"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70</w:t>
            </w:r>
          </w:p>
        </w:tc>
        <w:tc>
          <w:tcPr>
            <w:tcW w:w="70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0" w:hRule="atLeast"/>
          <w:jc w:val="center"/>
        </w:trPr>
        <w:tc>
          <w:tcPr>
            <w:tcW w:w="675" w:type="dxa"/>
            <w:vAlign w:val="center"/>
          </w:tcPr>
          <w:p>
            <w:pPr>
              <w:widowControl/>
              <w:snapToGrid w:val="0"/>
              <w:spacing w:line="500" w:lineRule="exact"/>
              <w:ind w:firstLine="0" w:firstLineChars="0"/>
              <w:jc w:val="center"/>
              <w:rPr>
                <w:rFonts w:eastAsia="仿宋_GB2312" w:cs="Times New Roman"/>
                <w:kern w:val="0"/>
                <w:sz w:val="21"/>
                <w:szCs w:val="21"/>
              </w:rPr>
            </w:pPr>
            <w:r>
              <w:rPr>
                <w:rFonts w:eastAsia="仿宋_GB2312" w:cs="Times New Roman"/>
                <w:kern w:val="0"/>
                <w:sz w:val="21"/>
                <w:szCs w:val="21"/>
              </w:rPr>
              <w:t>3</w:t>
            </w:r>
          </w:p>
        </w:tc>
        <w:tc>
          <w:tcPr>
            <w:tcW w:w="993"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w:t>
            </w:r>
          </w:p>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城区</w:t>
            </w:r>
          </w:p>
        </w:tc>
        <w:tc>
          <w:tcPr>
            <w:tcW w:w="1417"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河道清淤工程</w:t>
            </w:r>
          </w:p>
        </w:tc>
        <w:tc>
          <w:tcPr>
            <w:tcW w:w="1275"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八干渠引渠河道清淤工程</w:t>
            </w:r>
          </w:p>
        </w:tc>
        <w:tc>
          <w:tcPr>
            <w:tcW w:w="1134"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中心城区</w:t>
            </w:r>
          </w:p>
        </w:tc>
        <w:tc>
          <w:tcPr>
            <w:tcW w:w="152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2017</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廊坊市住建局</w:t>
            </w:r>
          </w:p>
        </w:tc>
        <w:tc>
          <w:tcPr>
            <w:tcW w:w="2643" w:type="dxa"/>
            <w:vAlign w:val="center"/>
          </w:tcPr>
          <w:p>
            <w:pPr>
              <w:widowControl/>
              <w:snapToGrid w:val="0"/>
              <w:spacing w:line="400" w:lineRule="exact"/>
              <w:ind w:firstLine="0" w:firstLineChars="0"/>
              <w:rPr>
                <w:rFonts w:eastAsia="仿宋_GB2312" w:cs="Times New Roman"/>
                <w:kern w:val="0"/>
                <w:sz w:val="21"/>
                <w:szCs w:val="21"/>
              </w:rPr>
            </w:pPr>
            <w:r>
              <w:rPr>
                <w:rFonts w:eastAsia="仿宋_GB2312" w:cs="Times New Roman"/>
                <w:kern w:val="0"/>
                <w:sz w:val="21"/>
                <w:szCs w:val="21"/>
              </w:rPr>
              <w:t>采用泵吸式对八干渠引渠进行工程量为10万方的清淤。</w:t>
            </w:r>
          </w:p>
        </w:tc>
        <w:tc>
          <w:tcPr>
            <w:tcW w:w="1327"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500</w:t>
            </w:r>
          </w:p>
        </w:tc>
        <w:tc>
          <w:tcPr>
            <w:tcW w:w="708" w:type="dxa"/>
            <w:vAlign w:val="center"/>
          </w:tcPr>
          <w:p>
            <w:pPr>
              <w:widowControl/>
              <w:snapToGrid w:val="0"/>
              <w:spacing w:line="400" w:lineRule="exact"/>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 w:hRule="atLeast"/>
          <w:jc w:val="center"/>
        </w:trPr>
        <w:tc>
          <w:tcPr>
            <w:tcW w:w="13228" w:type="dxa"/>
            <w:gridSpan w:val="11"/>
            <w:vAlign w:val="center"/>
          </w:tcPr>
          <w:p>
            <w:pPr>
              <w:widowControl/>
              <w:snapToGrid w:val="0"/>
              <w:spacing w:line="500" w:lineRule="exact"/>
              <w:ind w:firstLine="0" w:firstLineChars="0"/>
              <w:jc w:val="center"/>
              <w:rPr>
                <w:rFonts w:eastAsia="仿宋_GB2312" w:cs="Times New Roman"/>
                <w:b/>
                <w:kern w:val="0"/>
                <w:sz w:val="21"/>
                <w:szCs w:val="21"/>
              </w:rPr>
            </w:pPr>
            <w:r>
              <w:rPr>
                <w:rFonts w:eastAsia="仿宋_GB2312" w:cs="Times New Roman"/>
                <w:b/>
                <w:kern w:val="0"/>
                <w:sz w:val="21"/>
                <w:szCs w:val="21"/>
              </w:rPr>
              <w:t>3</w:t>
            </w:r>
            <w:r>
              <w:rPr>
                <w:rFonts w:hint="eastAsia" w:eastAsia="仿宋_GB2312" w:cs="Times New Roman"/>
                <w:b/>
                <w:kern w:val="0"/>
                <w:sz w:val="21"/>
                <w:szCs w:val="21"/>
              </w:rPr>
              <w:t>-</w:t>
            </w:r>
            <w:r>
              <w:rPr>
                <w:rFonts w:eastAsia="仿宋_GB2312" w:cs="Times New Roman"/>
                <w:b/>
                <w:kern w:val="0"/>
                <w:sz w:val="21"/>
                <w:szCs w:val="21"/>
              </w:rPr>
              <w:t>环境监管能力建设类型项目小计（环城水系）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0" w:hRule="atLeast"/>
          <w:jc w:val="center"/>
        </w:trPr>
        <w:tc>
          <w:tcPr>
            <w:tcW w:w="675"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1</w:t>
            </w:r>
          </w:p>
        </w:tc>
        <w:tc>
          <w:tcPr>
            <w:tcW w:w="993"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廊坊市</w:t>
            </w:r>
          </w:p>
        </w:tc>
        <w:tc>
          <w:tcPr>
            <w:tcW w:w="1417" w:type="dxa"/>
            <w:vAlign w:val="center"/>
          </w:tcPr>
          <w:p>
            <w:pPr>
              <w:widowControl/>
              <w:snapToGrid w:val="0"/>
              <w:spacing w:line="320" w:lineRule="exact"/>
              <w:ind w:firstLine="0" w:firstLineChars="0"/>
              <w:rPr>
                <w:rFonts w:eastAsia="仿宋_GB2312" w:cs="Times New Roman"/>
                <w:kern w:val="0"/>
                <w:sz w:val="21"/>
                <w:szCs w:val="21"/>
              </w:rPr>
            </w:pPr>
            <w:r>
              <w:rPr>
                <w:rFonts w:eastAsia="仿宋_GB2312" w:cs="Times New Roman"/>
                <w:kern w:val="0"/>
                <w:sz w:val="21"/>
                <w:szCs w:val="21"/>
              </w:rPr>
              <w:t>环境监管能力建设</w:t>
            </w:r>
          </w:p>
        </w:tc>
        <w:tc>
          <w:tcPr>
            <w:tcW w:w="1275" w:type="dxa"/>
            <w:vAlign w:val="center"/>
          </w:tcPr>
          <w:p>
            <w:pPr>
              <w:widowControl/>
              <w:snapToGrid w:val="0"/>
              <w:spacing w:line="320" w:lineRule="exact"/>
              <w:ind w:firstLine="0" w:firstLineChars="0"/>
              <w:rPr>
                <w:rFonts w:eastAsia="仿宋_GB2312" w:cs="Times New Roman"/>
                <w:kern w:val="0"/>
                <w:sz w:val="21"/>
                <w:szCs w:val="21"/>
              </w:rPr>
            </w:pPr>
            <w:r>
              <w:rPr>
                <w:rFonts w:eastAsia="仿宋_GB2312" w:cs="Times New Roman"/>
                <w:kern w:val="0"/>
                <w:sz w:val="21"/>
                <w:szCs w:val="21"/>
              </w:rPr>
              <w:t>廊坊市环保局环境监管能力建设项目</w:t>
            </w:r>
          </w:p>
        </w:tc>
        <w:tc>
          <w:tcPr>
            <w:tcW w:w="1134"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廊坊市</w:t>
            </w:r>
          </w:p>
        </w:tc>
        <w:tc>
          <w:tcPr>
            <w:tcW w:w="1528"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2016</w:t>
            </w:r>
            <w:r>
              <w:rPr>
                <w:rFonts w:hint="eastAsia" w:eastAsia="仿宋_GB2312" w:cs="Times New Roman"/>
                <w:kern w:val="0"/>
                <w:sz w:val="21"/>
                <w:szCs w:val="21"/>
              </w:rPr>
              <w:t>—</w:t>
            </w:r>
            <w:r>
              <w:rPr>
                <w:rFonts w:eastAsia="仿宋_GB2312" w:cs="Times New Roman"/>
                <w:kern w:val="0"/>
                <w:sz w:val="21"/>
                <w:szCs w:val="21"/>
              </w:rPr>
              <w:t>2018</w:t>
            </w:r>
            <w:r>
              <w:rPr>
                <w:rFonts w:hint="eastAsia" w:eastAsia="仿宋_GB2312" w:cs="Times New Roman"/>
                <w:kern w:val="0"/>
                <w:sz w:val="21"/>
                <w:szCs w:val="21"/>
              </w:rPr>
              <w:t>年</w:t>
            </w:r>
          </w:p>
        </w:tc>
        <w:tc>
          <w:tcPr>
            <w:tcW w:w="882"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廊坊市生态环境局</w:t>
            </w:r>
          </w:p>
        </w:tc>
        <w:tc>
          <w:tcPr>
            <w:tcW w:w="2643" w:type="dxa"/>
            <w:vAlign w:val="center"/>
          </w:tcPr>
          <w:p>
            <w:pPr>
              <w:widowControl/>
              <w:snapToGrid w:val="0"/>
              <w:spacing w:line="320" w:lineRule="exact"/>
              <w:ind w:firstLine="0" w:firstLineChars="0"/>
              <w:rPr>
                <w:rFonts w:eastAsia="仿宋_GB2312" w:cs="Times New Roman"/>
                <w:kern w:val="0"/>
                <w:sz w:val="21"/>
                <w:szCs w:val="21"/>
              </w:rPr>
            </w:pPr>
            <w:r>
              <w:rPr>
                <w:rFonts w:eastAsia="仿宋_GB2312" w:cs="Times New Roman"/>
                <w:kern w:val="0"/>
                <w:sz w:val="21"/>
                <w:szCs w:val="21"/>
              </w:rPr>
              <w:t>购买环境监测设备、实验器材、环境监察专用车，增设环保监督岗位及招纳相关工作人员。</w:t>
            </w:r>
          </w:p>
        </w:tc>
        <w:tc>
          <w:tcPr>
            <w:tcW w:w="1327"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300</w:t>
            </w:r>
          </w:p>
        </w:tc>
        <w:tc>
          <w:tcPr>
            <w:tcW w:w="708"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320" w:lineRule="exact"/>
              <w:ind w:firstLine="0" w:firstLineChars="0"/>
              <w:jc w:val="center"/>
              <w:rPr>
                <w:rFonts w:eastAsia="仿宋_GB2312" w:cs="Times New Roman"/>
                <w:kern w:val="0"/>
                <w:sz w:val="21"/>
                <w:szCs w:val="21"/>
              </w:rPr>
            </w:pPr>
            <w:r>
              <w:rPr>
                <w:rFonts w:eastAsia="仿宋_GB2312" w:cs="Times New Roman"/>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89" w:hRule="atLeast"/>
          <w:jc w:val="center"/>
        </w:trPr>
        <w:tc>
          <w:tcPr>
            <w:tcW w:w="675"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w:t>
            </w:r>
          </w:p>
        </w:tc>
        <w:tc>
          <w:tcPr>
            <w:tcW w:w="993"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417"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环境监管能力建设</w:t>
            </w:r>
          </w:p>
        </w:tc>
        <w:tc>
          <w:tcPr>
            <w:tcW w:w="1275"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广阳区环保局环境监管能力建设项目</w:t>
            </w:r>
          </w:p>
        </w:tc>
        <w:tc>
          <w:tcPr>
            <w:tcW w:w="1134"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w:t>
            </w:r>
          </w:p>
        </w:tc>
        <w:tc>
          <w:tcPr>
            <w:tcW w:w="152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2016</w:t>
            </w:r>
            <w:r>
              <w:rPr>
                <w:rFonts w:hint="eastAsia" w:eastAsia="仿宋_GB2312" w:cs="Times New Roman"/>
                <w:kern w:val="0"/>
                <w:sz w:val="21"/>
                <w:szCs w:val="21"/>
              </w:rPr>
              <w:t>—</w:t>
            </w:r>
            <w:r>
              <w:rPr>
                <w:rFonts w:eastAsia="仿宋_GB2312" w:cs="Times New Roman"/>
                <w:kern w:val="0"/>
                <w:sz w:val="21"/>
                <w:szCs w:val="21"/>
              </w:rPr>
              <w:t>2020</w:t>
            </w:r>
            <w:r>
              <w:rPr>
                <w:rFonts w:hint="eastAsia" w:eastAsia="仿宋_GB2312" w:cs="Times New Roman"/>
                <w:kern w:val="0"/>
                <w:sz w:val="21"/>
                <w:szCs w:val="21"/>
              </w:rPr>
              <w:t>年</w:t>
            </w:r>
          </w:p>
        </w:tc>
        <w:tc>
          <w:tcPr>
            <w:tcW w:w="882"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广阳区政府</w:t>
            </w:r>
          </w:p>
        </w:tc>
        <w:tc>
          <w:tcPr>
            <w:tcW w:w="2643" w:type="dxa"/>
            <w:vAlign w:val="center"/>
          </w:tcPr>
          <w:p>
            <w:pPr>
              <w:widowControl/>
              <w:snapToGrid w:val="0"/>
              <w:spacing w:line="240" w:lineRule="auto"/>
              <w:ind w:firstLine="0" w:firstLineChars="0"/>
              <w:rPr>
                <w:rFonts w:eastAsia="仿宋_GB2312" w:cs="Times New Roman"/>
                <w:kern w:val="0"/>
                <w:sz w:val="21"/>
                <w:szCs w:val="21"/>
              </w:rPr>
            </w:pPr>
            <w:r>
              <w:rPr>
                <w:rFonts w:eastAsia="仿宋_GB2312" w:cs="Times New Roman"/>
                <w:kern w:val="0"/>
                <w:sz w:val="21"/>
                <w:szCs w:val="21"/>
              </w:rPr>
              <w:t>购买环境监测设备、实验器材、环境监察专用车，增设环保监督岗位及招纳相关工作人员。</w:t>
            </w:r>
          </w:p>
        </w:tc>
        <w:tc>
          <w:tcPr>
            <w:tcW w:w="1327"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w:t>
            </w:r>
          </w:p>
        </w:tc>
        <w:tc>
          <w:tcPr>
            <w:tcW w:w="708"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环城水系</w:t>
            </w:r>
          </w:p>
        </w:tc>
        <w:tc>
          <w:tcPr>
            <w:tcW w:w="646" w:type="dxa"/>
            <w:vAlign w:val="center"/>
          </w:tcPr>
          <w:p>
            <w:pPr>
              <w:widowControl/>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　</w:t>
            </w:r>
          </w:p>
        </w:tc>
      </w:tr>
    </w:tbl>
    <w:p>
      <w:pPr>
        <w:spacing w:line="14" w:lineRule="exact"/>
        <w:ind w:firstLine="480"/>
      </w:pPr>
    </w:p>
    <w:p>
      <w:pPr>
        <w:pStyle w:val="2"/>
        <w:spacing w:line="14" w:lineRule="exact"/>
        <w:ind w:firstLine="640"/>
        <w:jc w:val="center"/>
        <w:sectPr>
          <w:footerReference r:id="rId14" w:type="default"/>
          <w:footerReference r:id="rId15" w:type="even"/>
          <w:pgSz w:w="16838" w:h="11906" w:orient="landscape"/>
          <w:pgMar w:top="1531" w:right="2098" w:bottom="1531" w:left="1474" w:header="851" w:footer="850" w:gutter="0"/>
          <w:cols w:space="720" w:num="1"/>
          <w:docGrid w:type="lines" w:linePitch="435" w:charSpace="0"/>
        </w:sectPr>
      </w:pPr>
    </w:p>
    <w:p>
      <w:pPr>
        <w:pStyle w:val="4"/>
        <w:ind w:firstLine="643"/>
      </w:pPr>
      <w:bookmarkStart w:id="112" w:name="_Toc21613517"/>
      <w:r>
        <w:t>5.3.2</w:t>
      </w:r>
      <w:r>
        <w:rPr>
          <w:rFonts w:hint="eastAsia"/>
        </w:rPr>
        <w:t>未完成工程项目</w:t>
      </w:r>
      <w:bookmarkEnd w:id="112"/>
    </w:p>
    <w:p>
      <w:pPr>
        <w:spacing w:line="584" w:lineRule="exact"/>
        <w:ind w:firstLine="640"/>
        <w:rPr>
          <w:rFonts w:eastAsia="仿宋_GB2312" w:cs="Times New Roman"/>
          <w:color w:val="000000"/>
          <w:sz w:val="32"/>
          <w:szCs w:val="32"/>
        </w:rPr>
      </w:pPr>
      <w:r>
        <w:rPr>
          <w:rFonts w:eastAsia="仿宋_GB2312" w:cs="Times New Roman"/>
          <w:sz w:val="32"/>
          <w:szCs w:val="32"/>
        </w:rPr>
        <w:t>龙河及环城水系</w:t>
      </w:r>
      <w:r>
        <w:rPr>
          <w:rFonts w:eastAsia="仿宋_GB2312" w:cs="Times New Roman"/>
          <w:color w:val="000000"/>
          <w:sz w:val="32"/>
          <w:szCs w:val="32"/>
        </w:rPr>
        <w:t>未完成项目主要涉及流域城镇污染源治理，未完成工程6项，主要涵盖城区生活污水处理、污水管网完善和污水处理厂尾水深度处理等工程。具体项目清单见表5</w:t>
      </w:r>
      <w:r>
        <w:rPr>
          <w:rFonts w:hint="eastAsia" w:eastAsia="仿宋_GB2312" w:cs="Times New Roman"/>
          <w:color w:val="000000"/>
          <w:sz w:val="32"/>
          <w:szCs w:val="32"/>
        </w:rPr>
        <w:t>-</w:t>
      </w:r>
      <w:r>
        <w:rPr>
          <w:rFonts w:eastAsia="仿宋_GB2312" w:cs="Times New Roman"/>
          <w:color w:val="000000"/>
          <w:sz w:val="32"/>
          <w:szCs w:val="32"/>
        </w:rPr>
        <w:t>5。</w:t>
      </w:r>
    </w:p>
    <w:p>
      <w:pPr>
        <w:spacing w:line="584" w:lineRule="exact"/>
        <w:ind w:firstLine="640"/>
        <w:rPr>
          <w:rFonts w:eastAsia="仿宋_GB2312" w:cs="Times New Roman"/>
          <w:color w:val="000000"/>
          <w:sz w:val="32"/>
          <w:szCs w:val="32"/>
        </w:rPr>
      </w:pPr>
      <w:r>
        <w:rPr>
          <w:rFonts w:eastAsia="仿宋_GB2312" w:cs="Times New Roman"/>
          <w:color w:val="000000"/>
          <w:sz w:val="32"/>
          <w:szCs w:val="32"/>
        </w:rPr>
        <w:t>（1）城区生活污水处理工程2项</w:t>
      </w:r>
    </w:p>
    <w:p>
      <w:pPr>
        <w:spacing w:line="584" w:lineRule="exact"/>
        <w:ind w:firstLine="640"/>
        <w:rPr>
          <w:rFonts w:eastAsia="仿宋_GB2312" w:cs="Times New Roman"/>
          <w:color w:val="000000"/>
          <w:sz w:val="32"/>
          <w:szCs w:val="32"/>
        </w:rPr>
      </w:pPr>
      <w:r>
        <w:rPr>
          <w:rFonts w:eastAsia="仿宋_GB2312" w:cs="Times New Roman"/>
          <w:color w:val="000000"/>
          <w:sz w:val="32"/>
          <w:szCs w:val="32"/>
        </w:rPr>
        <w:t>城区生活污水处理包括龙茂华污水处理厂二期工程扩建4万吨/日、城北尖塔镇污水处理设施建设工程及配套管网完善工程（一期规模为2万吨/日，远期规模为4万吨/日）。</w:t>
      </w:r>
    </w:p>
    <w:p>
      <w:pPr>
        <w:spacing w:line="584" w:lineRule="exact"/>
        <w:ind w:firstLine="640"/>
        <w:rPr>
          <w:rFonts w:eastAsia="仿宋_GB2312" w:cs="Times New Roman"/>
          <w:color w:val="000000"/>
          <w:sz w:val="32"/>
          <w:szCs w:val="32"/>
        </w:rPr>
      </w:pPr>
      <w:r>
        <w:rPr>
          <w:rFonts w:eastAsia="仿宋_GB2312" w:cs="Times New Roman"/>
          <w:color w:val="000000"/>
          <w:sz w:val="32"/>
          <w:szCs w:val="32"/>
        </w:rPr>
        <w:t>（2）污水管网完善工程3项</w:t>
      </w:r>
    </w:p>
    <w:p>
      <w:pPr>
        <w:spacing w:line="584" w:lineRule="exact"/>
        <w:ind w:firstLine="640"/>
        <w:rPr>
          <w:rFonts w:eastAsia="仿宋_GB2312" w:cs="Times New Roman"/>
          <w:color w:val="000000"/>
          <w:sz w:val="32"/>
          <w:szCs w:val="32"/>
        </w:rPr>
      </w:pPr>
      <w:r>
        <w:rPr>
          <w:rFonts w:eastAsia="仿宋_GB2312" w:cs="Times New Roman"/>
          <w:color w:val="000000"/>
          <w:sz w:val="32"/>
          <w:szCs w:val="32"/>
        </w:rPr>
        <w:t>污水管网完善包括大皮营引渠、六干渠、八干渠两岸污水管网完善工程，共铺设24.8公里截污管网。</w:t>
      </w:r>
    </w:p>
    <w:p>
      <w:pPr>
        <w:spacing w:line="584" w:lineRule="exact"/>
        <w:ind w:firstLine="640"/>
        <w:rPr>
          <w:rFonts w:eastAsia="仿宋_GB2312" w:cs="Times New Roman"/>
          <w:color w:val="000000"/>
          <w:sz w:val="32"/>
          <w:szCs w:val="32"/>
        </w:rPr>
      </w:pPr>
      <w:r>
        <w:rPr>
          <w:rFonts w:eastAsia="仿宋_GB2312" w:cs="Times New Roman"/>
          <w:color w:val="000000"/>
          <w:sz w:val="32"/>
          <w:szCs w:val="32"/>
        </w:rPr>
        <w:t>（3）污水处理厂尾水深度处理工程1项</w:t>
      </w:r>
    </w:p>
    <w:p>
      <w:pPr>
        <w:spacing w:line="584" w:lineRule="exact"/>
        <w:ind w:firstLine="640"/>
      </w:pPr>
      <w:r>
        <w:rPr>
          <w:rFonts w:eastAsia="仿宋_GB2312" w:cs="Times New Roman"/>
          <w:sz w:val="32"/>
          <w:szCs w:val="32"/>
        </w:rPr>
        <w:t>污水处理厂尾水深度处理为污水处理厂配套小型湿地尾水处理工程，在全市新建（含扩建）8处污水处理设施配套建设小型湿地，总处理规模为16万吨/日。</w:t>
      </w:r>
    </w:p>
    <w:p>
      <w:pPr>
        <w:pStyle w:val="2"/>
        <w:ind w:firstLine="640"/>
        <w:jc w:val="center"/>
        <w:sectPr>
          <w:footerReference r:id="rId16" w:type="even"/>
          <w:pgSz w:w="11906" w:h="16838"/>
          <w:pgMar w:top="2098" w:right="1531" w:bottom="1474" w:left="1531" w:header="851" w:footer="850" w:gutter="0"/>
          <w:cols w:space="720" w:num="1"/>
          <w:docGrid w:type="lines" w:linePitch="442" w:charSpace="0"/>
        </w:sectPr>
      </w:pPr>
    </w:p>
    <w:p>
      <w:pPr>
        <w:pStyle w:val="8"/>
        <w:spacing w:after="217" w:afterLines="50" w:line="600" w:lineRule="exact"/>
        <w:rPr>
          <w:rFonts w:ascii="Times New Roman" w:hAnsi="Times New Roman" w:eastAsia="黑体"/>
          <w:bCs/>
          <w:sz w:val="32"/>
          <w:szCs w:val="32"/>
        </w:rPr>
      </w:pPr>
      <w:r>
        <w:rPr>
          <w:rFonts w:ascii="Times New Roman" w:hAnsi="黑体" w:eastAsia="黑体"/>
          <w:bCs/>
          <w:sz w:val="32"/>
          <w:szCs w:val="32"/>
        </w:rPr>
        <w:t>表</w:t>
      </w:r>
      <w:r>
        <w:rPr>
          <w:rFonts w:ascii="Times New Roman" w:hAnsi="Times New Roman" w:eastAsia="黑体"/>
          <w:bCs/>
          <w:sz w:val="32"/>
          <w:szCs w:val="32"/>
        </w:rPr>
        <w:t>5</w:t>
      </w:r>
      <w:r>
        <w:rPr>
          <w:rFonts w:hint="eastAsia" w:ascii="Times New Roman" w:hAnsi="Times New Roman" w:eastAsia="黑体"/>
          <w:bCs/>
          <w:sz w:val="32"/>
          <w:szCs w:val="32"/>
        </w:rPr>
        <w:t>-</w:t>
      </w:r>
      <w:r>
        <w:rPr>
          <w:rFonts w:ascii="Times New Roman" w:hAnsi="Times New Roman" w:eastAsia="黑体"/>
          <w:bCs/>
          <w:sz w:val="32"/>
          <w:szCs w:val="32"/>
        </w:rPr>
        <w:t xml:space="preserve">5  </w:t>
      </w:r>
      <w:r>
        <w:rPr>
          <w:rFonts w:hint="eastAsia" w:ascii="Times New Roman" w:hAnsi="Times New Roman" w:eastAsia="黑体"/>
          <w:bCs/>
          <w:sz w:val="32"/>
          <w:szCs w:val="32"/>
        </w:rPr>
        <w:t>未完成项目清单</w:t>
      </w:r>
    </w:p>
    <w:tbl>
      <w:tblPr>
        <w:tblStyle w:val="11"/>
        <w:tblW w:w="131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1"/>
        <w:gridCol w:w="851"/>
        <w:gridCol w:w="1682"/>
        <w:gridCol w:w="1294"/>
        <w:gridCol w:w="891"/>
        <w:gridCol w:w="1519"/>
        <w:gridCol w:w="1116"/>
        <w:gridCol w:w="2551"/>
        <w:gridCol w:w="1561"/>
        <w:gridCol w:w="867"/>
        <w:gridCol w:w="4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74" w:hRule="atLeast"/>
          <w:tblHeader/>
          <w:jc w:val="center"/>
        </w:trPr>
        <w:tc>
          <w:tcPr>
            <w:tcW w:w="39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85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隶属</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关系</w:t>
            </w:r>
          </w:p>
        </w:tc>
        <w:tc>
          <w:tcPr>
            <w:tcW w:w="1682"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项目类型</w:t>
            </w:r>
          </w:p>
        </w:tc>
        <w:tc>
          <w:tcPr>
            <w:tcW w:w="1294"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项目名称</w:t>
            </w:r>
          </w:p>
        </w:tc>
        <w:tc>
          <w:tcPr>
            <w:tcW w:w="89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地点</w:t>
            </w:r>
          </w:p>
        </w:tc>
        <w:tc>
          <w:tcPr>
            <w:tcW w:w="1519"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建设周期</w:t>
            </w:r>
          </w:p>
        </w:tc>
        <w:tc>
          <w:tcPr>
            <w:tcW w:w="1116"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承担单位</w:t>
            </w:r>
          </w:p>
        </w:tc>
        <w:tc>
          <w:tcPr>
            <w:tcW w:w="255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156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项目总投资（万元）</w:t>
            </w:r>
            <w:r>
              <w:rPr>
                <w:rFonts w:eastAsia="仿宋_GB2312" w:cs="Times New Roman"/>
                <w:color w:val="000000"/>
                <w:kern w:val="0"/>
                <w:sz w:val="21"/>
                <w:szCs w:val="21"/>
              </w:rPr>
              <w:t>　</w:t>
            </w:r>
          </w:p>
        </w:tc>
        <w:tc>
          <w:tcPr>
            <w:tcW w:w="867"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关联</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水体</w:t>
            </w:r>
          </w:p>
        </w:tc>
        <w:tc>
          <w:tcPr>
            <w:tcW w:w="457"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2" w:hRule="atLeast"/>
          <w:jc w:val="center"/>
        </w:trPr>
        <w:tc>
          <w:tcPr>
            <w:tcW w:w="13180" w:type="dxa"/>
            <w:gridSpan w:val="11"/>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1-流域污染源治理类型项目小计（龙河）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39"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集中式污水处理设施建设工程</w:t>
            </w:r>
          </w:p>
        </w:tc>
        <w:tc>
          <w:tcPr>
            <w:tcW w:w="1294"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龙茂华污水处理厂二期工程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安次工业园区</w:t>
            </w:r>
          </w:p>
        </w:tc>
        <w:tc>
          <w:tcPr>
            <w:tcW w:w="1519"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视收水情况自行拟定</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廊坊市龙茂华污水处理有限公司</w:t>
            </w:r>
          </w:p>
        </w:tc>
        <w:tc>
          <w:tcPr>
            <w:tcW w:w="255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对现有龙茂华污水处理厂进行扩建，扩建规模为4万吨/日。</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20000</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7" w:hRule="atLeast"/>
          <w:jc w:val="center"/>
        </w:trPr>
        <w:tc>
          <w:tcPr>
            <w:tcW w:w="13180" w:type="dxa"/>
            <w:gridSpan w:val="11"/>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1-流域污染源治理类型项目小计（环城水系）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054"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bookmarkStart w:id="113" w:name="_Hlk12989560"/>
            <w:r>
              <w:rPr>
                <w:rFonts w:eastAsia="仿宋_GB2312" w:cs="Times New Roman"/>
                <w:color w:val="000000"/>
                <w:kern w:val="0"/>
                <w:sz w:val="21"/>
                <w:szCs w:val="21"/>
              </w:rPr>
              <w:t>1</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294"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城北尖塔镇污水处理设施建设工程及配套管网完善工程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尖塔镇</w:t>
            </w:r>
          </w:p>
        </w:tc>
        <w:tc>
          <w:tcPr>
            <w:tcW w:w="1519" w:type="dxa"/>
            <w:vAlign w:val="center"/>
          </w:tcPr>
          <w:p>
            <w:pPr>
              <w:widowControl/>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2017—2019</w:t>
            </w:r>
            <w:r>
              <w:rPr>
                <w:rFonts w:hint="eastAsia" w:eastAsia="仿宋_GB2312" w:cs="Times New Roman"/>
                <w:color w:val="000000"/>
                <w:kern w:val="0"/>
                <w:sz w:val="21"/>
                <w:szCs w:val="21"/>
              </w:rPr>
              <w:t>年</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住建局</w:t>
            </w:r>
          </w:p>
        </w:tc>
        <w:tc>
          <w:tcPr>
            <w:tcW w:w="255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在六干渠以北尖塔镇政府以北选址建设集中污水处理设施，一期规模为2万吨/日，远期规模为4万吨/日。</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100000（其中污水处理厂建设费用20000万元）</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六干渠</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869"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294"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大皮营引渠两岸污水管网完善工程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大皮营引渠</w:t>
            </w:r>
          </w:p>
        </w:tc>
        <w:tc>
          <w:tcPr>
            <w:tcW w:w="1519"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2018—2019</w:t>
            </w:r>
            <w:r>
              <w:rPr>
                <w:rFonts w:hint="eastAsia" w:eastAsia="仿宋_GB2312" w:cs="Times New Roman"/>
                <w:color w:val="000000"/>
                <w:kern w:val="0"/>
                <w:sz w:val="21"/>
                <w:szCs w:val="21"/>
              </w:rPr>
              <w:t>年</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住建局</w:t>
            </w:r>
          </w:p>
        </w:tc>
        <w:tc>
          <w:tcPr>
            <w:tcW w:w="255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铺设13.6公里DN1000截污管道。</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5091</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大皮营引渠</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161"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294"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六干渠两岸污水管网完善工程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六干渠</w:t>
            </w:r>
          </w:p>
        </w:tc>
        <w:tc>
          <w:tcPr>
            <w:tcW w:w="1519"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2018—2019</w:t>
            </w:r>
            <w:r>
              <w:rPr>
                <w:rFonts w:hint="eastAsia" w:eastAsia="仿宋_GB2312" w:cs="Times New Roman"/>
                <w:color w:val="000000"/>
                <w:kern w:val="0"/>
                <w:sz w:val="21"/>
                <w:szCs w:val="21"/>
              </w:rPr>
              <w:t>年</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住建局</w:t>
            </w:r>
          </w:p>
        </w:tc>
        <w:tc>
          <w:tcPr>
            <w:tcW w:w="255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铺设8.0公里DN800截污管道。</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2328</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六干渠</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204"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集中式污水处理设施建设及配套管网工程</w:t>
            </w:r>
          </w:p>
        </w:tc>
        <w:tc>
          <w:tcPr>
            <w:tcW w:w="1294"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八干渠两岸污水管网完善工程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八干渠</w:t>
            </w:r>
          </w:p>
        </w:tc>
        <w:tc>
          <w:tcPr>
            <w:tcW w:w="1519"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2016—2018</w:t>
            </w:r>
            <w:r>
              <w:rPr>
                <w:rFonts w:hint="eastAsia" w:eastAsia="仿宋_GB2312" w:cs="Times New Roman"/>
                <w:color w:val="000000"/>
                <w:kern w:val="0"/>
                <w:sz w:val="21"/>
                <w:szCs w:val="21"/>
              </w:rPr>
              <w:t>年</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住建局</w:t>
            </w:r>
          </w:p>
        </w:tc>
        <w:tc>
          <w:tcPr>
            <w:tcW w:w="255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铺设3.2公里DN800截污管道。</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931</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八干渠</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bookmarkEnd w:id="11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6" w:hRule="atLeast"/>
          <w:jc w:val="center"/>
        </w:trPr>
        <w:tc>
          <w:tcPr>
            <w:tcW w:w="13180" w:type="dxa"/>
            <w:gridSpan w:val="11"/>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2-流域生态修复与保护类型项目小计（环城水系）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4" w:hRule="atLeast"/>
          <w:jc w:val="center"/>
        </w:trPr>
        <w:tc>
          <w:tcPr>
            <w:tcW w:w="3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85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tc>
        <w:tc>
          <w:tcPr>
            <w:tcW w:w="1682"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湿地建设工程</w:t>
            </w:r>
          </w:p>
        </w:tc>
        <w:tc>
          <w:tcPr>
            <w:tcW w:w="1294"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污水处理厂配套小型湿地尾水处理工程</w:t>
            </w:r>
          </w:p>
        </w:tc>
        <w:tc>
          <w:tcPr>
            <w:tcW w:w="89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全市</w:t>
            </w:r>
          </w:p>
        </w:tc>
        <w:tc>
          <w:tcPr>
            <w:tcW w:w="1519"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2017—2020</w:t>
            </w:r>
            <w:r>
              <w:rPr>
                <w:rFonts w:hint="eastAsia" w:eastAsia="仿宋_GB2312" w:cs="Times New Roman"/>
                <w:color w:val="000000"/>
                <w:kern w:val="0"/>
                <w:sz w:val="21"/>
                <w:szCs w:val="21"/>
              </w:rPr>
              <w:t>年</w:t>
            </w:r>
          </w:p>
        </w:tc>
        <w:tc>
          <w:tcPr>
            <w:tcW w:w="111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廊坊市住建局、安次区政府、广阳区政府</w:t>
            </w:r>
          </w:p>
        </w:tc>
        <w:tc>
          <w:tcPr>
            <w:tcW w:w="2551" w:type="dxa"/>
            <w:vAlign w:val="center"/>
          </w:tcPr>
          <w:p>
            <w:pPr>
              <w:widowControl/>
              <w:snapToGrid w:val="0"/>
              <w:spacing w:line="32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全市新建（含扩建）8处污水处理设施配套建设小型湿地，总处理规模为16万吨/日，占地共480亩。</w:t>
            </w:r>
          </w:p>
        </w:tc>
        <w:tc>
          <w:tcPr>
            <w:tcW w:w="1561"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25600</w:t>
            </w:r>
          </w:p>
        </w:tc>
        <w:tc>
          <w:tcPr>
            <w:tcW w:w="8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环城</w:t>
            </w:r>
          </w:p>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水系</w:t>
            </w:r>
          </w:p>
        </w:tc>
        <w:tc>
          <w:tcPr>
            <w:tcW w:w="457" w:type="dxa"/>
            <w:vAlign w:val="center"/>
          </w:tcPr>
          <w:p>
            <w:pPr>
              <w:widowControl/>
              <w:snapToGrid w:val="0"/>
              <w:spacing w:line="240" w:lineRule="auto"/>
              <w:ind w:firstLine="0" w:firstLineChars="0"/>
              <w:jc w:val="center"/>
              <w:rPr>
                <w:rFonts w:eastAsia="仿宋_GB2312" w:cs="Times New Roman"/>
                <w:color w:val="000000"/>
                <w:kern w:val="0"/>
                <w:sz w:val="21"/>
                <w:szCs w:val="21"/>
              </w:rPr>
            </w:pPr>
          </w:p>
        </w:tc>
      </w:tr>
    </w:tbl>
    <w:p>
      <w:pPr>
        <w:spacing w:line="14" w:lineRule="exact"/>
        <w:ind w:firstLine="480"/>
      </w:pPr>
    </w:p>
    <w:p>
      <w:pPr>
        <w:pStyle w:val="2"/>
        <w:spacing w:line="14" w:lineRule="exact"/>
        <w:ind w:firstLine="640"/>
        <w:jc w:val="center"/>
        <w:sectPr>
          <w:footerReference r:id="rId17" w:type="default"/>
          <w:footerReference r:id="rId18" w:type="even"/>
          <w:pgSz w:w="16838" w:h="11906" w:orient="landscape"/>
          <w:pgMar w:top="1531" w:right="2098" w:bottom="1531" w:left="1474" w:header="851" w:footer="850" w:gutter="0"/>
          <w:cols w:space="720" w:num="1"/>
          <w:docGrid w:type="lines" w:linePitch="435" w:charSpace="0"/>
        </w:sectPr>
      </w:pPr>
    </w:p>
    <w:p>
      <w:pPr>
        <w:pStyle w:val="4"/>
        <w:adjustRightInd w:val="0"/>
        <w:snapToGrid w:val="0"/>
        <w:spacing w:line="590" w:lineRule="exact"/>
        <w:ind w:firstLine="643"/>
      </w:pPr>
      <w:bookmarkStart w:id="114" w:name="_Toc21613518"/>
      <w:r>
        <w:t>5.3.3</w:t>
      </w:r>
      <w:r>
        <w:rPr>
          <w:rFonts w:hint="eastAsia"/>
        </w:rPr>
        <w:t>拟取消工程项目</w:t>
      </w:r>
      <w:bookmarkEnd w:id="114"/>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由于现状因素等条件变化，原达标方案中未完成的部分工程已不具备实施必要性，拟取消未完成工程3项，主要涵盖城区生活污水处理和污水处理厂尾水深度处理等工程，主要原因如下。</w:t>
      </w:r>
    </w:p>
    <w:bookmarkEnd w:id="111"/>
    <w:p>
      <w:pPr>
        <w:adjustRightInd w:val="0"/>
        <w:snapToGrid w:val="0"/>
        <w:spacing w:line="590" w:lineRule="exact"/>
        <w:ind w:firstLine="640"/>
        <w:rPr>
          <w:rFonts w:eastAsia="仿宋_GB2312" w:cs="Times New Roman"/>
          <w:sz w:val="32"/>
          <w:szCs w:val="32"/>
        </w:rPr>
      </w:pPr>
      <w:r>
        <w:rPr>
          <w:rFonts w:eastAsia="仿宋_GB2312" w:cs="Times New Roman"/>
          <w:sz w:val="32"/>
          <w:szCs w:val="32"/>
        </w:rPr>
        <w:t>（1）龙茂华污水处理厂二期工程</w:t>
      </w:r>
    </w:p>
    <w:p>
      <w:pPr>
        <w:adjustRightInd w:val="0"/>
        <w:snapToGrid w:val="0"/>
        <w:spacing w:line="590" w:lineRule="exact"/>
        <w:ind w:firstLine="640"/>
        <w:rPr>
          <w:rFonts w:eastAsia="仿宋_GB2312" w:cs="Times New Roman"/>
          <w:sz w:val="32"/>
          <w:szCs w:val="32"/>
        </w:rPr>
      </w:pPr>
      <w:r>
        <w:rPr>
          <w:rFonts w:eastAsia="仿宋_GB2312" w:cs="Times New Roman"/>
          <w:color w:val="000000"/>
          <w:sz w:val="32"/>
          <w:szCs w:val="32"/>
        </w:rPr>
        <w:t>“</w:t>
      </w:r>
      <w:r>
        <w:rPr>
          <w:rFonts w:eastAsia="仿宋_GB2312" w:cs="Times New Roman"/>
          <w:sz w:val="32"/>
          <w:szCs w:val="32"/>
        </w:rPr>
        <w:t>龙茂华污水处理厂二期工程</w:t>
      </w:r>
      <w:r>
        <w:rPr>
          <w:rFonts w:eastAsia="仿宋_GB2312" w:cs="Times New Roman"/>
          <w:color w:val="000000"/>
          <w:sz w:val="32"/>
          <w:szCs w:val="32"/>
        </w:rPr>
        <w:t>”的初衷，一是为了扩大农村污水收集和处理规模，将主城区内的农村污水进行收集排入龙茂华污水处理厂进行处理；二是为了加强工业园区污染治理，将</w:t>
      </w:r>
      <w:r>
        <w:rPr>
          <w:rFonts w:eastAsia="仿宋_GB2312" w:cs="Times New Roman"/>
          <w:sz w:val="32"/>
          <w:szCs w:val="32"/>
        </w:rPr>
        <w:t>杨税务乡内的村镇企业接至安次经济开发区龙茂华污水处理厂。</w:t>
      </w:r>
      <w:r>
        <w:rPr>
          <w:rFonts w:eastAsia="仿宋_GB2312" w:cs="Times New Roman"/>
          <w:color w:val="000000"/>
          <w:sz w:val="32"/>
          <w:szCs w:val="32"/>
        </w:rPr>
        <w:t>由于原龙茂华污水处理厂的处理能力只有</w:t>
      </w:r>
      <w:r>
        <w:rPr>
          <w:rFonts w:eastAsia="仿宋_GB2312" w:cs="Times New Roman"/>
          <w:sz w:val="32"/>
          <w:szCs w:val="32"/>
        </w:rPr>
        <w:t>2万吨/日，需要扩容，拟建龙茂华污水处理厂二期工程。但是自2017年起，研究区内工业企业进行整顿和关停，未关停的企业已经全部移入园区内，且园区内的涉水企业安装了治污设施，通过处理后排入市政管网，因此，工业废水排放量大幅度降低。农村生活污水由于居民环保意识不强，加上住房多为沿河而建，不愿意自家实施管网改造工程，无法收集这些农村生活污水，故建议取消“龙茂华污水处理厂二期工程”项目。</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（2）城北尖塔镇污水处理设施建设工程及配套管网完善工程</w:t>
      </w:r>
    </w:p>
    <w:p>
      <w:pPr>
        <w:adjustRightInd w:val="0"/>
        <w:snapToGrid w:val="0"/>
        <w:spacing w:line="590" w:lineRule="exact"/>
        <w:ind w:firstLine="640"/>
        <w:rPr>
          <w:rFonts w:eastAsia="仿宋_GB2312" w:cs="Times New Roman"/>
          <w:color w:val="000000"/>
          <w:sz w:val="32"/>
          <w:szCs w:val="32"/>
        </w:rPr>
      </w:pPr>
      <w:r>
        <w:rPr>
          <w:rFonts w:eastAsia="仿宋_GB2312" w:cs="Times New Roman"/>
          <w:color w:val="000000"/>
          <w:sz w:val="32"/>
          <w:szCs w:val="32"/>
        </w:rPr>
        <w:t>按照廊坊市中心城区2030版总体规划，六干渠以北区域没有规划污水处理厂建设位置。为满足城区污水处理需求，根据《廊坊市中心城区排水与污水处理专项规划》，原计划实施的铁路北污水处理厂处理规模由4万吨/日增加至5万吨/日。凯发污水处理厂扩建处理规模由3万吨/日增加至6万吨/日。两座污水处理厂处理规模在原有基础上合计增加4万吨/日，有效解决了六干渠以北区域污水处理厂无法建设的问题。故建议取消</w:t>
      </w:r>
      <w:r>
        <w:rPr>
          <w:rFonts w:hint="eastAsia" w:eastAsia="仿宋_GB2312" w:cs="Times New Roman"/>
          <w:color w:val="000000"/>
          <w:sz w:val="32"/>
          <w:szCs w:val="32"/>
        </w:rPr>
        <w:t>“</w:t>
      </w:r>
      <w:r>
        <w:rPr>
          <w:rFonts w:eastAsia="仿宋_GB2312" w:cs="Times New Roman"/>
          <w:color w:val="000000"/>
          <w:sz w:val="32"/>
          <w:szCs w:val="32"/>
        </w:rPr>
        <w:t>城北尖塔镇污水处理设施建设工程及配套管网完善工程</w:t>
      </w:r>
      <w:r>
        <w:rPr>
          <w:rFonts w:hint="eastAsia" w:eastAsia="仿宋_GB2312" w:cs="Times New Roman"/>
          <w:color w:val="000000"/>
          <w:sz w:val="32"/>
          <w:szCs w:val="32"/>
        </w:rPr>
        <w:t>”项目</w:t>
      </w:r>
      <w:r>
        <w:rPr>
          <w:rFonts w:eastAsia="仿宋_GB2312" w:cs="Times New Roman"/>
          <w:color w:val="000000"/>
          <w:sz w:val="32"/>
          <w:szCs w:val="32"/>
        </w:rPr>
        <w:t>。</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（3）污水处理厂配套小型湿地尾水处理工程</w:t>
      </w:r>
    </w:p>
    <w:p>
      <w:pPr>
        <w:adjustRightInd w:val="0"/>
        <w:snapToGrid w:val="0"/>
        <w:spacing w:line="590" w:lineRule="exact"/>
        <w:ind w:firstLine="640"/>
        <w:rPr>
          <w:rFonts w:eastAsia="仿宋_GB2312" w:cs="Times New Roman"/>
          <w:sz w:val="32"/>
          <w:szCs w:val="32"/>
        </w:rPr>
      </w:pPr>
      <w:r>
        <w:rPr>
          <w:rFonts w:eastAsia="仿宋_GB2312" w:cs="Times New Roman"/>
          <w:sz w:val="32"/>
          <w:szCs w:val="32"/>
        </w:rPr>
        <w:t>“污水处理厂配套小型湿地尾水处理工程”</w:t>
      </w:r>
      <w:r>
        <w:rPr>
          <w:rFonts w:eastAsia="仿宋_GB2312" w:cs="Times New Roman"/>
          <w:color w:val="000000"/>
          <w:sz w:val="32"/>
          <w:szCs w:val="32"/>
        </w:rPr>
        <w:t>的初衷，是考虑原污水处理厂处理能力工艺和处理能力较低，出水水质执行标准较低，影响受纳水体的水质状况，目前现有污水处理厂已全部实施提标改造。故建议取消</w:t>
      </w:r>
      <w:r>
        <w:rPr>
          <w:rFonts w:eastAsia="仿宋_GB2312" w:cs="Times New Roman"/>
          <w:sz w:val="32"/>
          <w:szCs w:val="32"/>
        </w:rPr>
        <w:t>“污水处理厂配套小型湿地尾水处理工程”项目。</w:t>
      </w:r>
    </w:p>
    <w:p>
      <w:pPr>
        <w:pStyle w:val="4"/>
        <w:adjustRightInd w:val="0"/>
        <w:snapToGrid w:val="0"/>
        <w:spacing w:line="590" w:lineRule="exact"/>
        <w:ind w:firstLine="643"/>
      </w:pPr>
      <w:bookmarkStart w:id="115" w:name="_Toc21613519"/>
      <w:r>
        <w:t>5.3.4</w:t>
      </w:r>
      <w:r>
        <w:rPr>
          <w:rFonts w:hint="eastAsia"/>
        </w:rPr>
        <w:t>拟调整工程项目</w:t>
      </w:r>
      <w:bookmarkEnd w:id="115"/>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）大皮营引渠两岸污水管网完善工程</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大皮营引渠包括市区段（铁路-龙河）和广阳区段（铁路-六干渠）。其中，市区段</w:t>
      </w:r>
      <w:r>
        <w:rPr>
          <w:rFonts w:eastAsia="仿宋_GB2312" w:cs="Times New Roman"/>
          <w:sz w:val="32"/>
          <w:szCs w:val="32"/>
        </w:rPr>
        <w:t>3.9</w:t>
      </w:r>
      <w:r>
        <w:rPr>
          <w:rFonts w:hint="eastAsia" w:eastAsia="仿宋_GB2312" w:cs="Times New Roman"/>
          <w:sz w:val="32"/>
          <w:szCs w:val="32"/>
        </w:rPr>
        <w:t>公里河道两侧截污管网已经配套完善（大皮营引渠西侧</w:t>
      </w:r>
      <w:r>
        <w:rPr>
          <w:rFonts w:eastAsia="仿宋_GB2312" w:cs="Times New Roman"/>
          <w:sz w:val="32"/>
          <w:szCs w:val="32"/>
        </w:rPr>
        <w:t>3.21</w:t>
      </w:r>
      <w:r>
        <w:rPr>
          <w:rFonts w:hint="eastAsia" w:eastAsia="仿宋_GB2312" w:cs="Times New Roman"/>
          <w:sz w:val="32"/>
          <w:szCs w:val="32"/>
        </w:rPr>
        <w:t>公里，东侧</w:t>
      </w:r>
      <w:r>
        <w:rPr>
          <w:rFonts w:eastAsia="仿宋_GB2312" w:cs="Times New Roman"/>
          <w:sz w:val="32"/>
          <w:szCs w:val="32"/>
        </w:rPr>
        <w:t>5.56</w:t>
      </w:r>
      <w:r>
        <w:rPr>
          <w:rFonts w:hint="eastAsia" w:eastAsia="仿宋_GB2312" w:cs="Times New Roman"/>
          <w:sz w:val="32"/>
          <w:szCs w:val="32"/>
        </w:rPr>
        <w:t>公里），沿线污水全部收集排入凯发污水处理厂。铁路以北广阳区段属于市建成区以外农村区域，通过排污口整治及属地治理等工作，已基本消除污水直排情况。</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）六干渠两岸污水管网完善工程</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六干渠（大皮营引渠-八干渠）属于市建成区以外农村地区。</w:t>
      </w:r>
      <w:r>
        <w:rPr>
          <w:rFonts w:eastAsia="仿宋_GB2312" w:cs="Times New Roman"/>
          <w:sz w:val="32"/>
          <w:szCs w:val="32"/>
        </w:rPr>
        <w:t>2018</w:t>
      </w:r>
      <w:r>
        <w:rPr>
          <w:rFonts w:hint="eastAsia" w:eastAsia="仿宋_GB2312" w:cs="Times New Roman"/>
          <w:sz w:val="32"/>
          <w:szCs w:val="32"/>
        </w:rPr>
        <w:t>年市住建局组织实施中心河渠整治施工，全面对直排口进行治理，将原直排口接入市政管网或封堵处理，已消除直排。下一步六干渠两侧区域将随区域开发配套完善管网建设。</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）八干渠两岸污水管网完善工程</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八干渠包括市区段（北凤道-光明西道南</w:t>
      </w:r>
      <w:r>
        <w:rPr>
          <w:rFonts w:eastAsia="仿宋_GB2312" w:cs="Times New Roman"/>
          <w:sz w:val="32"/>
          <w:szCs w:val="32"/>
        </w:rPr>
        <w:t>500</w:t>
      </w:r>
      <w:r>
        <w:rPr>
          <w:rFonts w:hint="eastAsia" w:eastAsia="仿宋_GB2312" w:cs="Times New Roman"/>
          <w:sz w:val="32"/>
          <w:szCs w:val="32"/>
        </w:rPr>
        <w:t>米）和广阳区段（光明西道南</w:t>
      </w:r>
      <w:r>
        <w:rPr>
          <w:rFonts w:eastAsia="仿宋_GB2312" w:cs="Times New Roman"/>
          <w:sz w:val="32"/>
          <w:szCs w:val="32"/>
        </w:rPr>
        <w:t>500</w:t>
      </w:r>
      <w:r>
        <w:rPr>
          <w:rFonts w:hint="eastAsia" w:eastAsia="仿宋_GB2312" w:cs="Times New Roman"/>
          <w:sz w:val="32"/>
          <w:szCs w:val="32"/>
        </w:rPr>
        <w:t>米-东环路）。其中，市区段</w:t>
      </w:r>
      <w:r>
        <w:rPr>
          <w:rFonts w:eastAsia="仿宋_GB2312" w:cs="Times New Roman"/>
          <w:sz w:val="32"/>
          <w:szCs w:val="32"/>
        </w:rPr>
        <w:t>4.8</w:t>
      </w:r>
      <w:r>
        <w:rPr>
          <w:rFonts w:hint="eastAsia" w:eastAsia="仿宋_GB2312" w:cs="Times New Roman"/>
          <w:sz w:val="32"/>
          <w:szCs w:val="32"/>
        </w:rPr>
        <w:t>公里河道两侧截污管网已经配套完善。广阳区段</w:t>
      </w:r>
      <w:r>
        <w:rPr>
          <w:rFonts w:eastAsia="仿宋_GB2312" w:cs="Times New Roman"/>
          <w:sz w:val="32"/>
          <w:szCs w:val="32"/>
        </w:rPr>
        <w:t>5.7</w:t>
      </w:r>
      <w:r>
        <w:rPr>
          <w:rFonts w:hint="eastAsia" w:eastAsia="仿宋_GB2312" w:cs="Times New Roman"/>
          <w:sz w:val="32"/>
          <w:szCs w:val="32"/>
        </w:rPr>
        <w:t>公里属于市建成区以外农村地区，按照属地管理原则，该区域排水管网应由属地政府根据污水收集处理方式和区域开发配套建设。</w:t>
      </w:r>
    </w:p>
    <w:p>
      <w:pPr>
        <w:pStyle w:val="2"/>
        <w:adjustRightInd w:val="0"/>
        <w:snapToGrid w:val="0"/>
        <w:spacing w:line="590" w:lineRule="exact"/>
        <w:ind w:firstLine="640"/>
      </w:pPr>
      <w:bookmarkStart w:id="116" w:name="_Toc21613520"/>
      <w:r>
        <w:rPr>
          <w:rFonts w:hint="eastAsia"/>
        </w:rPr>
        <w:t>六、水环境问题识别</w:t>
      </w:r>
      <w:bookmarkEnd w:id="116"/>
    </w:p>
    <w:p>
      <w:pPr>
        <w:pStyle w:val="3"/>
        <w:adjustRightInd w:val="0"/>
        <w:snapToGrid w:val="0"/>
        <w:spacing w:line="590" w:lineRule="exact"/>
        <w:ind w:firstLine="643"/>
        <w:rPr>
          <w:rFonts w:eastAsia="楷体_GB2312"/>
        </w:rPr>
      </w:pPr>
      <w:bookmarkStart w:id="117" w:name="_Toc459303092"/>
      <w:bookmarkStart w:id="118" w:name="_Toc21613521"/>
      <w:r>
        <w:rPr>
          <w:rFonts w:eastAsia="楷体_GB2312"/>
        </w:rPr>
        <w:t>6.1</w:t>
      </w:r>
      <w:bookmarkEnd w:id="117"/>
      <w:r>
        <w:rPr>
          <w:rFonts w:hint="eastAsia" w:eastAsia="楷体_GB2312"/>
        </w:rPr>
        <w:t>生态补水与上游来水难以持续稳定，污染治理仍需加强</w:t>
      </w:r>
      <w:bookmarkEnd w:id="118"/>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近年，龙河上游由于南水北调的水量补给，以及近年北京来水水质明显转好，使得龙河上游水质状况改善、水量增加，近期水质稳定达标。但是按照地区受水与用水规划，南水北调补给未来存在不可持续的风险，上游来水水质也存在不稳定的风险，龙河沿岸生活废水和垃圾排放尚未得到全面控制、环城水系降雨期间溢流问题仍然存在，龙河及环城水系的水体水质治理仍需加强。</w:t>
      </w:r>
    </w:p>
    <w:p>
      <w:pPr>
        <w:pStyle w:val="3"/>
        <w:adjustRightInd w:val="0"/>
        <w:snapToGrid w:val="0"/>
        <w:spacing w:line="590" w:lineRule="exact"/>
        <w:ind w:firstLine="643"/>
        <w:rPr>
          <w:rFonts w:eastAsia="楷体_GB2312"/>
        </w:rPr>
      </w:pPr>
      <w:bookmarkStart w:id="119" w:name="_Toc21613522"/>
      <w:r>
        <w:rPr>
          <w:rFonts w:eastAsia="楷体_GB2312"/>
        </w:rPr>
        <w:t>6.2</w:t>
      </w:r>
      <w:r>
        <w:rPr>
          <w:rFonts w:hint="eastAsia" w:eastAsia="楷体_GB2312"/>
        </w:rPr>
        <w:t>水系连通性差降低了水体修复能力，不利于水质改善</w:t>
      </w:r>
      <w:bookmarkEnd w:id="119"/>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目前城区内各条干渠与龙河相互之间的连接点都已经建设了闸站，处于不连通的状态，枯水期河水流动性不强，河道基本的生态流量难以保持，水质自净能力下降，且短期难以恢复。同时龙河支渠半截河等受排污影响，水质较差，且沿岸存在垃圾堆存现象，在雨季、丰水期时，雨量短期增加，受污染的支渠水量大幅增加，会透过闸坝或土坝直接流入龙河和环城水系，加重后者的污染，对水质达标造成一定影响。</w:t>
      </w:r>
    </w:p>
    <w:p>
      <w:pPr>
        <w:pStyle w:val="3"/>
        <w:adjustRightInd w:val="0"/>
        <w:snapToGrid w:val="0"/>
        <w:spacing w:line="590" w:lineRule="exact"/>
        <w:ind w:firstLine="643"/>
        <w:rPr>
          <w:rFonts w:eastAsia="楷体_GB2312"/>
          <w:bCs w:val="0"/>
        </w:rPr>
      </w:pPr>
      <w:bookmarkStart w:id="120" w:name="_Toc21613523"/>
      <w:r>
        <w:rPr>
          <w:rFonts w:eastAsia="楷体_GB2312"/>
        </w:rPr>
        <w:t>6.3</w:t>
      </w:r>
      <w:r>
        <w:rPr>
          <w:rFonts w:hint="eastAsia" w:eastAsia="楷体_GB2312"/>
        </w:rPr>
        <w:t>农村生活污水垃圾处理仍需加强，已建治污设施利用率有待提高</w:t>
      </w:r>
      <w:bookmarkEnd w:id="120"/>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研究区内沿河居民生活垃圾直排、污水出门就倒，未采取有效设施、治污管控不到位已成龙河及环城水系的主要问题。其中，龙河支渠半截河沿线农村地区的生活垃圾直接沿岸堆放，沟渠沿岸等低洼地带成为天然垃圾堆存点，生活垃圾直接入河，成为影响主要支渠水质的主要因素。</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广阳区与安次区的部分农村地区目前尚未建有排水管网或污水处理设施，已建污水处理设施的农村地区由于设施基本处于闲置状态，生活污水依然直排。截止到</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5</w:t>
      </w:r>
      <w:r>
        <w:rPr>
          <w:rFonts w:hint="eastAsia" w:eastAsia="仿宋_GB2312" w:cs="Times New Roman"/>
          <w:sz w:val="32"/>
          <w:szCs w:val="32"/>
        </w:rPr>
        <w:t>月龙河两岸的</w:t>
      </w:r>
      <w:r>
        <w:rPr>
          <w:rFonts w:eastAsia="仿宋_GB2312" w:cs="Times New Roman"/>
          <w:sz w:val="32"/>
          <w:szCs w:val="32"/>
        </w:rPr>
        <w:t>18</w:t>
      </w:r>
      <w:r>
        <w:rPr>
          <w:rFonts w:hint="eastAsia" w:eastAsia="仿宋_GB2312" w:cs="Times New Roman"/>
          <w:sz w:val="32"/>
          <w:szCs w:val="32"/>
        </w:rPr>
        <w:t>个村庄已安装了庭院式污水处理设施，涉及</w:t>
      </w:r>
      <w:r>
        <w:rPr>
          <w:rFonts w:eastAsia="仿宋_GB2312" w:cs="Times New Roman"/>
          <w:sz w:val="32"/>
          <w:szCs w:val="32"/>
        </w:rPr>
        <w:t>1000</w:t>
      </w:r>
      <w:r>
        <w:rPr>
          <w:rFonts w:hint="eastAsia" w:eastAsia="仿宋_GB2312" w:cs="Times New Roman"/>
          <w:sz w:val="32"/>
          <w:szCs w:val="32"/>
        </w:rPr>
        <w:t>多户，且大多数住户选择将该设施安装在院外，村民对庭院式污水处理设施的使用积极性不高，污水处理设施的使用率低下，同时仍有部分村民拒绝安装该设备，因此虽然农村地区安装了一家一户分散处理污水处理设施，但是污水处理效果仍不乐观。</w:t>
      </w:r>
    </w:p>
    <w:p>
      <w:pPr>
        <w:pStyle w:val="3"/>
        <w:adjustRightInd w:val="0"/>
        <w:snapToGrid w:val="0"/>
        <w:spacing w:line="590" w:lineRule="exact"/>
        <w:ind w:firstLine="643"/>
        <w:rPr>
          <w:rFonts w:eastAsia="楷体_GB2312"/>
        </w:rPr>
      </w:pPr>
      <w:bookmarkStart w:id="121" w:name="_Toc459303093"/>
      <w:bookmarkStart w:id="122" w:name="_Toc21613524"/>
      <w:r>
        <w:rPr>
          <w:rFonts w:eastAsia="楷体_GB2312"/>
        </w:rPr>
        <w:t>6.4</w:t>
      </w:r>
      <w:r>
        <w:rPr>
          <w:rFonts w:hint="eastAsia" w:eastAsia="楷体_GB2312"/>
        </w:rPr>
        <w:t>城区雨污分流不足，</w:t>
      </w:r>
      <w:r>
        <w:rPr>
          <w:rFonts w:hint="eastAsia" w:eastAsia="楷体_GB2312"/>
          <w:bCs w:val="0"/>
          <w:szCs w:val="21"/>
        </w:rPr>
        <w:t>汛期降雨过程中</w:t>
      </w:r>
      <w:r>
        <w:rPr>
          <w:rFonts w:hint="eastAsia" w:eastAsia="楷体_GB2312"/>
        </w:rPr>
        <w:t>城市管网污水溢流现象</w:t>
      </w:r>
      <w:bookmarkEnd w:id="121"/>
      <w:r>
        <w:rPr>
          <w:rFonts w:hint="eastAsia" w:eastAsia="楷体_GB2312"/>
        </w:rPr>
        <w:t>时有发生</w:t>
      </w:r>
      <w:bookmarkEnd w:id="122"/>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目前廊坊城区排水管网以雨污混流为主，而且分流管网由于其它支线管网的不健全，尚未完全起到雨污分流的作用，市区老旧管网和老旧小区雨污分流不彻底导致雨季污水溢流，导致污水直排入河。城区部分新建小区排水管与市政管道不衔接，生活污水在小区内进行了收集，但是小区外没有设置与市政管网的连接点，只能排入城市河流。</w:t>
      </w:r>
    </w:p>
    <w:p>
      <w:pPr>
        <w:pStyle w:val="3"/>
        <w:adjustRightInd w:val="0"/>
        <w:snapToGrid w:val="0"/>
        <w:spacing w:line="590" w:lineRule="exact"/>
        <w:ind w:firstLine="643"/>
        <w:rPr>
          <w:rFonts w:eastAsia="楷体_GB2312"/>
        </w:rPr>
      </w:pPr>
      <w:bookmarkStart w:id="123" w:name="_Toc21613525"/>
      <w:r>
        <w:rPr>
          <w:rFonts w:eastAsia="楷体_GB2312"/>
        </w:rPr>
        <w:t>6.5</w:t>
      </w:r>
      <w:r>
        <w:rPr>
          <w:rFonts w:hint="eastAsia" w:eastAsia="楷体_GB2312"/>
        </w:rPr>
        <w:t>水资源与生态流量不足，藻类快速生长不容忽视</w:t>
      </w:r>
      <w:bookmarkEnd w:id="123"/>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研究区内河道生态水量严重不足，龙河河道旱季经常会处于断流状态，环城水系的水量主要来自污水处理厂尾水。目前城区各干渠和龙河之间的连接点均被闸住，处于不连通的状态，水体流动性不强，河道基本的生态流量难以保持，水质自净能力下降，水质恶化现象时有发生。</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6</w:t>
      </w:r>
      <w:r>
        <w:rPr>
          <w:rFonts w:hint="eastAsia" w:eastAsia="仿宋_GB2312" w:cs="Times New Roman"/>
          <w:sz w:val="32"/>
          <w:szCs w:val="32"/>
        </w:rPr>
        <w:t>月份由于水质的恶化加之气温的上升，龙河末端出现了藻类大量生长的现象，其中大王务断面的实测绿藻、蓝藻、硅藻、裸藻等藻类的密度达到了</w:t>
      </w:r>
      <w:r>
        <w:rPr>
          <w:rFonts w:eastAsia="仿宋_GB2312" w:cs="Times New Roman"/>
          <w:sz w:val="32"/>
          <w:szCs w:val="32"/>
        </w:rPr>
        <w:t>7326</w:t>
      </w:r>
      <w:r>
        <w:rPr>
          <w:rFonts w:hint="eastAsia" w:eastAsia="仿宋_GB2312" w:cs="Times New Roman"/>
          <w:sz w:val="32"/>
          <w:szCs w:val="32"/>
        </w:rPr>
        <w:t>万个</w:t>
      </w:r>
      <w:r>
        <w:rPr>
          <w:rFonts w:eastAsia="仿宋_GB2312" w:cs="Times New Roman"/>
          <w:sz w:val="32"/>
          <w:szCs w:val="32"/>
        </w:rPr>
        <w:t>/</w:t>
      </w:r>
      <w:r>
        <w:rPr>
          <w:rFonts w:hint="eastAsia" w:eastAsia="仿宋_GB2312" w:cs="Times New Roman"/>
          <w:sz w:val="32"/>
          <w:szCs w:val="32"/>
        </w:rPr>
        <w:t>升，生物量达到了</w:t>
      </w:r>
      <w:r>
        <w:rPr>
          <w:rFonts w:eastAsia="仿宋_GB2312" w:cs="Times New Roman"/>
          <w:sz w:val="32"/>
          <w:szCs w:val="32"/>
        </w:rPr>
        <w:t>30mg/L</w:t>
      </w:r>
      <w:r>
        <w:rPr>
          <w:rFonts w:hint="eastAsia" w:eastAsia="仿宋_GB2312" w:cs="Times New Roman"/>
          <w:sz w:val="32"/>
          <w:szCs w:val="32"/>
        </w:rPr>
        <w:t>。</w:t>
      </w:r>
    </w:p>
    <w:p>
      <w:pPr>
        <w:pStyle w:val="2"/>
        <w:adjustRightInd w:val="0"/>
        <w:snapToGrid w:val="0"/>
        <w:spacing w:line="590" w:lineRule="exact"/>
        <w:ind w:firstLine="640"/>
      </w:pPr>
      <w:bookmarkStart w:id="124" w:name="_Toc21613526"/>
      <w:r>
        <w:rPr>
          <w:rFonts w:hint="eastAsia"/>
        </w:rPr>
        <w:t>七、重点任务</w:t>
      </w:r>
      <w:bookmarkEnd w:id="124"/>
    </w:p>
    <w:p>
      <w:pPr>
        <w:pStyle w:val="3"/>
        <w:adjustRightInd w:val="0"/>
        <w:snapToGrid w:val="0"/>
        <w:spacing w:line="590" w:lineRule="exact"/>
        <w:ind w:firstLine="643"/>
        <w:rPr>
          <w:rFonts w:eastAsia="楷体_GB2312"/>
        </w:rPr>
      </w:pPr>
      <w:bookmarkStart w:id="125" w:name="_Toc21613527"/>
      <w:bookmarkStart w:id="126" w:name="_Toc459303127"/>
      <w:r>
        <w:rPr>
          <w:rFonts w:eastAsia="楷体_GB2312"/>
        </w:rPr>
        <w:t>7.1</w:t>
      </w:r>
      <w:r>
        <w:rPr>
          <w:rFonts w:hint="eastAsia" w:eastAsia="楷体_GB2312"/>
        </w:rPr>
        <w:t>城镇生活污染治理</w:t>
      </w:r>
      <w:bookmarkEnd w:id="125"/>
      <w:bookmarkEnd w:id="126"/>
    </w:p>
    <w:p>
      <w:pPr>
        <w:pStyle w:val="4"/>
        <w:adjustRightInd w:val="0"/>
        <w:snapToGrid w:val="0"/>
        <w:spacing w:line="590" w:lineRule="exact"/>
        <w:ind w:firstLine="643"/>
      </w:pPr>
      <w:bookmarkStart w:id="127" w:name="_Toc459303128"/>
      <w:bookmarkStart w:id="128" w:name="_Toc21613528"/>
      <w:r>
        <w:t>7.1.1</w:t>
      </w:r>
      <w:r>
        <w:rPr>
          <w:rFonts w:hint="eastAsia"/>
        </w:rPr>
        <w:t>持续推进城镇生活污水治理</w:t>
      </w:r>
      <w:bookmarkEnd w:id="127"/>
      <w:bookmarkEnd w:id="128"/>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加快实施廊坊市市区城南污水管网铺设及提升泵站建设工程，将污水截流并纳入城市污水收集和处理系统，通过采用截污纳管的方式控制城市点源污染，提升区域污水收集能力，减少污染物直排量。通过海绵城市建设，采用渗、蓄、滞、净、用、排的综合措施，进行</w:t>
      </w:r>
      <w:r>
        <w:rPr>
          <w:rFonts w:eastAsia="仿宋_GB2312" w:cs="Times New Roman"/>
          <w:sz w:val="32"/>
          <w:szCs w:val="32"/>
        </w:rPr>
        <w:t>“</w:t>
      </w:r>
      <w:r>
        <w:rPr>
          <w:rFonts w:hint="eastAsia" w:eastAsia="仿宋_GB2312" w:cs="Times New Roman"/>
          <w:sz w:val="32"/>
          <w:szCs w:val="32"/>
        </w:rPr>
        <w:t>源头削减—过程调控—末端治理</w:t>
      </w:r>
      <w:r>
        <w:rPr>
          <w:rFonts w:eastAsia="仿宋_GB2312" w:cs="Times New Roman"/>
          <w:sz w:val="32"/>
          <w:szCs w:val="32"/>
        </w:rPr>
        <w:t>”</w:t>
      </w:r>
      <w:r>
        <w:rPr>
          <w:rFonts w:hint="eastAsia" w:eastAsia="仿宋_GB2312" w:cs="Times New Roman"/>
          <w:sz w:val="32"/>
          <w:szCs w:val="32"/>
        </w:rPr>
        <w:t>，减少城市面源污染随雨水进入河道。加快推进凯发新泉水务有限公司一期</w:t>
      </w:r>
      <w:r>
        <w:rPr>
          <w:rFonts w:eastAsia="仿宋_GB2312" w:cs="Times New Roman"/>
          <w:sz w:val="32"/>
          <w:szCs w:val="32"/>
        </w:rPr>
        <w:t>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日处理能力的升级改造工程，出水达到京</w:t>
      </w:r>
      <w:r>
        <w:rPr>
          <w:rFonts w:eastAsia="仿宋_GB2312" w:cs="Times New Roman"/>
          <w:sz w:val="32"/>
          <w:szCs w:val="32"/>
        </w:rPr>
        <w:t>B</w:t>
      </w:r>
      <w:r>
        <w:rPr>
          <w:rFonts w:hint="eastAsia" w:eastAsia="仿宋_GB2312" w:cs="Times New Roman"/>
          <w:sz w:val="32"/>
          <w:szCs w:val="32"/>
        </w:rPr>
        <w:t>标准。</w:t>
      </w:r>
    </w:p>
    <w:p>
      <w:pPr>
        <w:pStyle w:val="4"/>
        <w:adjustRightInd w:val="0"/>
        <w:snapToGrid w:val="0"/>
        <w:spacing w:line="590" w:lineRule="exact"/>
        <w:ind w:firstLine="643"/>
      </w:pPr>
      <w:bookmarkStart w:id="129" w:name="_Toc459303129"/>
      <w:bookmarkStart w:id="130" w:name="_Toc21613529"/>
      <w:r>
        <w:t>7.1.2</w:t>
      </w:r>
      <w:r>
        <w:rPr>
          <w:rFonts w:hint="eastAsia"/>
        </w:rPr>
        <w:t>完善与改造污水收集管网</w:t>
      </w:r>
      <w:bookmarkEnd w:id="129"/>
      <w:bookmarkEnd w:id="130"/>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强化城中村、老旧城区和城乡结合部污水的截流、收集，现有合流制排水系统应加快实施雨污分流改造，难以改造的应采取截流、调蓄和治理等措施。加快龙河以南管网建设工程，解决该区域污水入河问题。根据区域农村拆迁情况和区域开发现状，加快推进大皮营引渠两岸污水管网完善工程、六干渠两岸污水管网完善工程、八干渠两岸污水管网完善工程建设与维护，持续推进支渠沿线管网完善、污水排口封堵、污水溢流维护等工作。</w:t>
      </w:r>
    </w:p>
    <w:p>
      <w:pPr>
        <w:pStyle w:val="4"/>
        <w:adjustRightInd w:val="0"/>
        <w:snapToGrid w:val="0"/>
        <w:spacing w:line="590" w:lineRule="exact"/>
        <w:ind w:firstLine="643"/>
      </w:pPr>
      <w:bookmarkStart w:id="131" w:name="_Toc21613530"/>
      <w:r>
        <w:t>7.1.3</w:t>
      </w:r>
      <w:r>
        <w:rPr>
          <w:rFonts w:hint="eastAsia"/>
        </w:rPr>
        <w:t>加强污水处理厂运营维护，提高再生水利用率</w:t>
      </w:r>
      <w:bookmarkEnd w:id="131"/>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加强城区污水处理厂和经济开发区污水处理厂的运营维护，提高污水处理厂抗冲击负荷能力，保障雨季出水水质稳定达标。提高城镇污水处理厂再生水利用率，推进污水处理厂尾水补充支流干渠河道，保障支流干渠河道生态流量。</w:t>
      </w:r>
    </w:p>
    <w:p>
      <w:pPr>
        <w:pStyle w:val="3"/>
        <w:adjustRightInd w:val="0"/>
        <w:snapToGrid w:val="0"/>
        <w:spacing w:line="590" w:lineRule="exact"/>
        <w:ind w:firstLine="643"/>
        <w:rPr>
          <w:rFonts w:eastAsia="楷体_GB2312"/>
        </w:rPr>
      </w:pPr>
      <w:bookmarkStart w:id="132" w:name="_Toc459303142"/>
      <w:bookmarkStart w:id="133" w:name="_Toc21613531"/>
      <w:bookmarkStart w:id="134" w:name="_Toc459303133"/>
      <w:r>
        <w:rPr>
          <w:rFonts w:eastAsia="楷体_GB2312"/>
        </w:rPr>
        <w:t>7.2</w:t>
      </w:r>
      <w:r>
        <w:rPr>
          <w:rFonts w:hint="eastAsia" w:eastAsia="楷体_GB2312"/>
        </w:rPr>
        <w:t>农村生活污染治理</w:t>
      </w:r>
      <w:bookmarkEnd w:id="132"/>
      <w:bookmarkEnd w:id="133"/>
    </w:p>
    <w:p>
      <w:pPr>
        <w:pStyle w:val="4"/>
        <w:adjustRightInd w:val="0"/>
        <w:snapToGrid w:val="0"/>
        <w:spacing w:line="590" w:lineRule="exact"/>
        <w:ind w:firstLine="643"/>
      </w:pPr>
      <w:bookmarkStart w:id="135" w:name="_Toc21613532"/>
      <w:r>
        <w:t>7.2.1</w:t>
      </w:r>
      <w:r>
        <w:rPr>
          <w:rFonts w:hint="eastAsia"/>
        </w:rPr>
        <w:t>稳步推进农村生活污水治理</w:t>
      </w:r>
      <w:bookmarkEnd w:id="135"/>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继续推进支渠周边未拆迁村庄等居民生活污水不入河，持续管控整治八干渠、六干渠周围农村生活污染问题。对于有条件接入集中污水处理设施的村庄，铺设排水管道收集其生活污水；对于不具备条件接入集中污水处理设施的村庄，考虑采用分散型污水处理设施进行处理。</w:t>
      </w:r>
    </w:p>
    <w:p>
      <w:pPr>
        <w:pStyle w:val="4"/>
        <w:adjustRightInd w:val="0"/>
        <w:snapToGrid w:val="0"/>
        <w:spacing w:line="590" w:lineRule="exact"/>
        <w:ind w:firstLine="643"/>
      </w:pPr>
      <w:bookmarkStart w:id="136" w:name="_Toc21613533"/>
      <w:r>
        <w:t>7.2.2</w:t>
      </w:r>
      <w:r>
        <w:rPr>
          <w:rFonts w:hint="eastAsia"/>
        </w:rPr>
        <w:t>加强农村分散污水处理设施运营维护</w:t>
      </w:r>
      <w:bookmarkEnd w:id="136"/>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针对龙河沿岸农村污水处理设施运行使用效率低的问题，应建立一定的治污考评机制，监督农村实际治污情况，提高庭院式污水处理设施的使用效率。同时加强已建农村污水处理设施的运营指导和维护，保证处理设施的正常运转和处理效率，减少污水直接排放，提升农村生态环境。</w:t>
      </w:r>
    </w:p>
    <w:p>
      <w:pPr>
        <w:pStyle w:val="4"/>
        <w:adjustRightInd w:val="0"/>
        <w:snapToGrid w:val="0"/>
        <w:spacing w:line="590" w:lineRule="exact"/>
        <w:ind w:firstLine="643"/>
      </w:pPr>
      <w:bookmarkStart w:id="137" w:name="_Toc21613534"/>
      <w:r>
        <w:t>7.2.3</w:t>
      </w:r>
      <w:r>
        <w:rPr>
          <w:rFonts w:hint="eastAsia"/>
        </w:rPr>
        <w:t>提升农村生活垃圾收集转运能力</w:t>
      </w:r>
      <w:bookmarkEnd w:id="137"/>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不断完善</w:t>
      </w:r>
      <w:r>
        <w:rPr>
          <w:rFonts w:eastAsia="仿宋_GB2312" w:cs="Times New Roman"/>
          <w:sz w:val="32"/>
          <w:szCs w:val="32"/>
        </w:rPr>
        <w:t>“</w:t>
      </w:r>
      <w:r>
        <w:rPr>
          <w:rFonts w:hint="eastAsia" w:eastAsia="仿宋_GB2312" w:cs="Times New Roman"/>
          <w:sz w:val="32"/>
          <w:szCs w:val="32"/>
        </w:rPr>
        <w:t>村收集、镇转运、市处理</w:t>
      </w:r>
      <w:r>
        <w:rPr>
          <w:rFonts w:eastAsia="仿宋_GB2312" w:cs="Times New Roman"/>
          <w:sz w:val="32"/>
          <w:szCs w:val="32"/>
        </w:rPr>
        <w:t>”</w:t>
      </w:r>
      <w:r>
        <w:rPr>
          <w:rFonts w:hint="eastAsia" w:eastAsia="仿宋_GB2312" w:cs="Times New Roman"/>
          <w:sz w:val="32"/>
          <w:szCs w:val="32"/>
        </w:rPr>
        <w:t>的生活垃圾收集转运模式，配置足够数量的生活垃圾收集、清运的硬件设备和收集清运人员，提升环卫工人劳动积极性与周边村民环境意识，逐步提升农村生活垃圾集中收运比例，不断改善河流沿岸农村卫生环境质量。为了满足生活垃圾的集中收集、转运、处理，每个村须配备足够的垃圾收集人员，每个镇驻地须采取单独或联合配套建设垃圾收集转运站，垃圾收集转运站须配备足够的垃圾清运车，由清运车每天将各农村垃圾桶收集的垃圾运输至垃圾收集转运站，并配备足够专业车辆统一运输至垃圾填埋场，同时配备足够的清运、转运人员。</w:t>
      </w:r>
    </w:p>
    <w:p>
      <w:pPr>
        <w:pStyle w:val="3"/>
        <w:adjustRightInd w:val="0"/>
        <w:snapToGrid w:val="0"/>
        <w:spacing w:line="590" w:lineRule="exact"/>
        <w:ind w:firstLine="643"/>
        <w:rPr>
          <w:rFonts w:eastAsia="楷体_GB2312"/>
        </w:rPr>
      </w:pPr>
      <w:bookmarkStart w:id="138" w:name="_Toc21613535"/>
      <w:r>
        <w:rPr>
          <w:rFonts w:eastAsia="楷体_GB2312"/>
        </w:rPr>
        <w:t>7.3</w:t>
      </w:r>
      <w:r>
        <w:rPr>
          <w:rFonts w:hint="eastAsia" w:eastAsia="楷体_GB2312"/>
        </w:rPr>
        <w:t>工业污染防治</w:t>
      </w:r>
      <w:bookmarkEnd w:id="134"/>
      <w:bookmarkEnd w:id="138"/>
    </w:p>
    <w:p>
      <w:pPr>
        <w:adjustRightInd w:val="0"/>
        <w:snapToGrid w:val="0"/>
        <w:spacing w:line="590" w:lineRule="exact"/>
        <w:ind w:firstLine="640"/>
        <w:rPr>
          <w:rFonts w:eastAsia="仿宋_GB2312" w:cs="Times New Roman"/>
          <w:sz w:val="32"/>
          <w:szCs w:val="32"/>
        </w:rPr>
      </w:pPr>
      <w:bookmarkStart w:id="139" w:name="_Toc459303135"/>
      <w:r>
        <w:rPr>
          <w:rFonts w:hint="eastAsia" w:eastAsia="仿宋_GB2312" w:cs="Times New Roman"/>
          <w:sz w:val="32"/>
          <w:szCs w:val="32"/>
        </w:rPr>
        <w:t>严查河道工业废水排污口，提高环境监察及监管能力</w:t>
      </w:r>
      <w:bookmarkEnd w:id="139"/>
      <w:r>
        <w:rPr>
          <w:rFonts w:hint="eastAsia" w:eastAsia="仿宋_GB2312" w:cs="Times New Roman"/>
          <w:sz w:val="32"/>
          <w:szCs w:val="32"/>
        </w:rPr>
        <w:t>。沿八干渠进行仔细筛查，重点开展八干渠许各庄至下游段的排污口筛查工作，发现工业废水排口，坚决予以取缔，同时追查废水排放来源，对排放企业进行严肃处理和停产整顿。</w:t>
      </w:r>
    </w:p>
    <w:p>
      <w:pPr>
        <w:pStyle w:val="3"/>
        <w:adjustRightInd w:val="0"/>
        <w:snapToGrid w:val="0"/>
        <w:spacing w:line="590" w:lineRule="exact"/>
        <w:ind w:firstLine="643"/>
        <w:rPr>
          <w:rFonts w:eastAsia="楷体_GB2312"/>
        </w:rPr>
      </w:pPr>
      <w:bookmarkStart w:id="140" w:name="_Toc459303112"/>
      <w:bookmarkStart w:id="141" w:name="_Toc21613536"/>
      <w:r>
        <w:rPr>
          <w:rFonts w:eastAsia="楷体_GB2312"/>
        </w:rPr>
        <w:t>7.4</w:t>
      </w:r>
      <w:r>
        <w:rPr>
          <w:rFonts w:hint="eastAsia" w:eastAsia="楷体_GB2312"/>
        </w:rPr>
        <w:t>农村种植业污染</w:t>
      </w:r>
      <w:bookmarkEnd w:id="140"/>
      <w:r>
        <w:rPr>
          <w:rFonts w:hint="eastAsia" w:eastAsia="楷体_GB2312"/>
        </w:rPr>
        <w:t>源治理</w:t>
      </w:r>
      <w:bookmarkEnd w:id="141"/>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实施农田养分管理。推广有机无机配施技术，以处理过的秸秆和畜禽粪便、沼液沼渣、绿肥等富含一定氮磷养分的有机物料替代部分化肥，从而减少化肥施用量。实行测土配方施肥，推广精准施肥技术和机具。开展农作物病虫害绿色防控和统防统治。建设种养结合的循环农业系统、滴灌节水系统，控制地表径流和传统漫灌引起的营养流失。</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推进农业发展方式转型。依托安次区和广阳区已建成的农实果蔬合作社、省级蔬菜标准园和部级蔬菜标准园、家庭农场、生态庄园、休闲农庄建设成果及经验，继续扩大生态农业示范区建设。</w:t>
      </w:r>
      <w:r>
        <w:rPr>
          <w:rFonts w:eastAsia="仿宋_GB2312" w:cs="Times New Roman"/>
          <w:sz w:val="32"/>
          <w:szCs w:val="32"/>
        </w:rPr>
        <w:t>“</w:t>
      </w:r>
      <w:r>
        <w:rPr>
          <w:rFonts w:hint="eastAsia" w:eastAsia="仿宋_GB2312" w:cs="Times New Roman"/>
          <w:sz w:val="32"/>
          <w:szCs w:val="32"/>
        </w:rPr>
        <w:t>十三五</w:t>
      </w:r>
      <w:r>
        <w:rPr>
          <w:rFonts w:eastAsia="仿宋_GB2312" w:cs="Times New Roman"/>
          <w:sz w:val="32"/>
          <w:szCs w:val="32"/>
        </w:rPr>
        <w:t>”</w:t>
      </w:r>
      <w:r>
        <w:rPr>
          <w:rFonts w:hint="eastAsia" w:eastAsia="仿宋_GB2312" w:cs="Times New Roman"/>
          <w:sz w:val="32"/>
          <w:szCs w:val="32"/>
        </w:rPr>
        <w:t>期间，在安次区、广阳区继续增建有机农业示范区建设工程，发展标准化粮食及瓜果蔬菜生产基地，开展测土配方施肥，建设有机肥加工厂区，购买有机肥生产线，同时建设种植区滴灌和喷灌系统和病虫害物理防治设施，建设产品生产信息溯源体系及环基地生态隔离带，发展成为京津冀农业现代化样板区，成为区域水环境保护与农业产业高端化发展的典范。</w:t>
      </w:r>
    </w:p>
    <w:p>
      <w:pPr>
        <w:pStyle w:val="3"/>
        <w:autoSpaceDN w:val="0"/>
        <w:adjustRightInd w:val="0"/>
        <w:snapToGrid w:val="0"/>
        <w:spacing w:line="590" w:lineRule="exact"/>
        <w:ind w:firstLine="643"/>
        <w:rPr>
          <w:rFonts w:eastAsia="楷体_GB2312"/>
        </w:rPr>
      </w:pPr>
      <w:bookmarkStart w:id="142" w:name="_Toc21613537"/>
      <w:r>
        <w:rPr>
          <w:rFonts w:eastAsia="楷体_GB2312"/>
        </w:rPr>
        <w:t>7.5</w:t>
      </w:r>
      <w:r>
        <w:rPr>
          <w:rFonts w:hint="eastAsia" w:eastAsia="楷体_GB2312"/>
        </w:rPr>
        <w:t>河道综合治理与生态修复</w:t>
      </w:r>
      <w:bookmarkEnd w:id="142"/>
    </w:p>
    <w:p>
      <w:pPr>
        <w:pStyle w:val="4"/>
        <w:adjustRightInd w:val="0"/>
        <w:snapToGrid w:val="0"/>
        <w:spacing w:line="590" w:lineRule="exact"/>
        <w:ind w:firstLine="643"/>
      </w:pPr>
      <w:bookmarkStart w:id="143" w:name="_Toc459303139"/>
      <w:bookmarkStart w:id="144" w:name="_Toc21613538"/>
      <w:bookmarkStart w:id="145" w:name="_Toc460430375"/>
      <w:r>
        <w:t>7.5.1</w:t>
      </w:r>
      <w:r>
        <w:rPr>
          <w:rFonts w:hint="eastAsia"/>
        </w:rPr>
        <w:t>加强河流沿岸垃圾收集及河道垃圾打捞清运</w:t>
      </w:r>
      <w:bookmarkEnd w:id="143"/>
      <w:bookmarkEnd w:id="144"/>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加强八干渠、六干渠、大皮营引渠、龙河支渠及龙河等河道垃圾的打捞、沿岸垃圾的清理，加强城市及农村环境治理，杜绝垃圾随意堆放的工作。通过聘请第三方服务公司等，定期对河道垃圾分河段进行打捞，对河道内现有的漂浮垃圾和水草进行打捞并由环卫部门负责无害化处理，每个河段配备</w:t>
      </w:r>
      <w:r>
        <w:rPr>
          <w:rFonts w:eastAsia="仿宋_GB2312" w:cs="Times New Roman"/>
          <w:sz w:val="32"/>
          <w:szCs w:val="32"/>
        </w:rPr>
        <w:t>1</w:t>
      </w: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名垃圾清捞负责人，实现</w:t>
      </w:r>
      <w:r>
        <w:rPr>
          <w:rFonts w:eastAsia="仿宋_GB2312" w:cs="Times New Roman"/>
          <w:sz w:val="32"/>
          <w:szCs w:val="32"/>
        </w:rPr>
        <w:t>“</w:t>
      </w:r>
      <w:r>
        <w:rPr>
          <w:rFonts w:hint="eastAsia" w:eastAsia="仿宋_GB2312" w:cs="Times New Roman"/>
          <w:sz w:val="32"/>
          <w:szCs w:val="32"/>
        </w:rPr>
        <w:t>专人专管</w:t>
      </w:r>
      <w:r>
        <w:rPr>
          <w:rFonts w:eastAsia="仿宋_GB2312" w:cs="Times New Roman"/>
          <w:sz w:val="32"/>
          <w:szCs w:val="32"/>
        </w:rPr>
        <w:t>”</w:t>
      </w:r>
      <w:r>
        <w:rPr>
          <w:rFonts w:hint="eastAsia" w:eastAsia="仿宋_GB2312" w:cs="Times New Roman"/>
          <w:sz w:val="32"/>
          <w:szCs w:val="32"/>
        </w:rPr>
        <w:t>制度。加强河流周边，尤其是城区和上游河段周边的生活垃圾收集与处理。重点加强位于城中村、城乡接合部、城区内空档地段等位置河段沿岸生活垃圾的收集，对河道沿岸生活垃圾的堆放进行清理，并防止垃圾由于堆放不当而掉入河中，污染水体、破坏水环境。</w:t>
      </w:r>
    </w:p>
    <w:bookmarkEnd w:id="145"/>
    <w:p>
      <w:pPr>
        <w:pStyle w:val="4"/>
        <w:adjustRightInd w:val="0"/>
        <w:snapToGrid w:val="0"/>
        <w:spacing w:line="590" w:lineRule="exact"/>
        <w:ind w:firstLine="643"/>
      </w:pPr>
      <w:bookmarkStart w:id="146" w:name="_Toc21613539"/>
      <w:r>
        <w:t>7.5.2</w:t>
      </w:r>
      <w:r>
        <w:rPr>
          <w:rFonts w:hint="eastAsia"/>
        </w:rPr>
        <w:t>提升人工湿地运营维护水平</w:t>
      </w:r>
      <w:bookmarkEnd w:id="146"/>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根据龙河水质、水量变化情况动态调整人工湿地运行负荷和运行方式。湿地植物要定期进行收割、配植，做好收割植物的处理处置，防治腐烂植物影响水质。做好人工湿地工程内的藻类防控，及时开展湿地构筑物内藻类的清理。</w:t>
      </w:r>
    </w:p>
    <w:p>
      <w:pPr>
        <w:pStyle w:val="4"/>
        <w:adjustRightInd w:val="0"/>
        <w:snapToGrid w:val="0"/>
        <w:spacing w:line="590" w:lineRule="exact"/>
        <w:ind w:firstLine="643"/>
      </w:pPr>
      <w:bookmarkStart w:id="147" w:name="_Toc21613540"/>
      <w:r>
        <w:t>7.5.3</w:t>
      </w:r>
      <w:r>
        <w:rPr>
          <w:rFonts w:hint="eastAsia"/>
        </w:rPr>
        <w:t>加强河道精细化综合管控</w:t>
      </w:r>
      <w:bookmarkEnd w:id="147"/>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在人工湿地出口下游通过种植苦草、黑藻等水生植物或投放水生动物等，构建水生生态系统物种多样性，恢复龙河水生态系统功能。坚持河道内大型丝状绿藻、菹草等每日清理清零机制，及时清理河道内菹草和藻类等。</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在常规污染指标监测的基础上，加强考核断面藻类、透明度和叶绿素等指标的监测，为考核断面水质达标预警提供科学依据。</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通过南水北调工程及输水配套设施建设开展龙河生态补水，补水规模</w:t>
      </w:r>
      <w:r>
        <w:rPr>
          <w:rFonts w:eastAsia="仿宋_GB2312" w:cs="Times New Roman"/>
          <w:sz w:val="32"/>
          <w:szCs w:val="32"/>
        </w:rPr>
        <w:t>1000</w:t>
      </w:r>
      <w:r>
        <w:rPr>
          <w:rFonts w:hint="eastAsia" w:eastAsia="仿宋_GB2312" w:cs="Times New Roman"/>
          <w:sz w:val="32"/>
          <w:szCs w:val="32"/>
        </w:rPr>
        <w:t>万立方米。</w:t>
      </w:r>
    </w:p>
    <w:p>
      <w:pPr>
        <w:pStyle w:val="2"/>
        <w:adjustRightInd w:val="0"/>
        <w:snapToGrid w:val="0"/>
        <w:spacing w:line="590" w:lineRule="exact"/>
        <w:ind w:firstLine="640"/>
      </w:pPr>
      <w:bookmarkStart w:id="148" w:name="_Toc21613541"/>
      <w:r>
        <w:rPr>
          <w:rFonts w:hint="eastAsia"/>
        </w:rPr>
        <w:t>八、重点工程投资和效益分析</w:t>
      </w:r>
      <w:bookmarkEnd w:id="148"/>
    </w:p>
    <w:p>
      <w:pPr>
        <w:pStyle w:val="3"/>
        <w:autoSpaceDN w:val="0"/>
        <w:adjustRightInd w:val="0"/>
        <w:snapToGrid w:val="0"/>
        <w:spacing w:line="590" w:lineRule="exact"/>
        <w:ind w:firstLine="643"/>
        <w:rPr>
          <w:rFonts w:eastAsia="楷体_GB2312"/>
        </w:rPr>
      </w:pPr>
      <w:bookmarkStart w:id="149" w:name="_Toc21613542"/>
      <w:r>
        <w:rPr>
          <w:rFonts w:eastAsia="楷体_GB2312"/>
        </w:rPr>
        <w:t>8.1</w:t>
      </w:r>
      <w:r>
        <w:rPr>
          <w:rFonts w:hint="eastAsia" w:eastAsia="楷体_GB2312"/>
        </w:rPr>
        <w:t>工程投资</w:t>
      </w:r>
      <w:bookmarkEnd w:id="149"/>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根据本方案重点任务，龙河及环城水系的治理工程主要分为污水处理厂提标改造、排水管网完善工程和龙河及环城水系河道综合治理与生态修复工程等两类工程，工程项目总数</w:t>
      </w:r>
      <w:r>
        <w:rPr>
          <w:rFonts w:eastAsia="仿宋_GB2312" w:cs="Times New Roman"/>
          <w:sz w:val="32"/>
          <w:szCs w:val="32"/>
        </w:rPr>
        <w:t>10</w:t>
      </w:r>
      <w:r>
        <w:rPr>
          <w:rFonts w:hint="eastAsia" w:eastAsia="仿宋_GB2312" w:cs="Times New Roman"/>
          <w:sz w:val="32"/>
          <w:szCs w:val="32"/>
        </w:rPr>
        <w:t>个，总投资约</w:t>
      </w:r>
      <w:r>
        <w:rPr>
          <w:rFonts w:eastAsia="仿宋_GB2312" w:cs="Times New Roman"/>
          <w:sz w:val="32"/>
          <w:szCs w:val="32"/>
        </w:rPr>
        <w:t>1.88</w:t>
      </w:r>
      <w:r>
        <w:rPr>
          <w:rFonts w:hint="eastAsia" w:eastAsia="仿宋_GB2312" w:cs="Times New Roman"/>
          <w:sz w:val="32"/>
          <w:szCs w:val="32"/>
        </w:rPr>
        <w:t>亿元。</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其中，流域污染源治理类项目</w:t>
      </w:r>
      <w:r>
        <w:rPr>
          <w:rFonts w:eastAsia="仿宋_GB2312" w:cs="Times New Roman"/>
          <w:sz w:val="32"/>
          <w:szCs w:val="32"/>
        </w:rPr>
        <w:t>5</w:t>
      </w:r>
      <w:r>
        <w:rPr>
          <w:rFonts w:hint="eastAsia" w:eastAsia="仿宋_GB2312" w:cs="Times New Roman"/>
          <w:sz w:val="32"/>
          <w:szCs w:val="32"/>
        </w:rPr>
        <w:t>个，主要为污水处理厂提标改造和污水配套管网工程，分别投资约</w:t>
      </w:r>
      <w:r>
        <w:rPr>
          <w:rFonts w:eastAsia="仿宋_GB2312" w:cs="Times New Roman"/>
          <w:sz w:val="32"/>
          <w:szCs w:val="32"/>
        </w:rPr>
        <w:t>1.5</w:t>
      </w:r>
      <w:r>
        <w:rPr>
          <w:rFonts w:hint="eastAsia" w:eastAsia="仿宋_GB2312" w:cs="Times New Roman"/>
          <w:sz w:val="32"/>
          <w:szCs w:val="32"/>
        </w:rPr>
        <w:t>亿元和</w:t>
      </w:r>
      <w:r>
        <w:rPr>
          <w:rFonts w:eastAsia="仿宋_GB2312" w:cs="Times New Roman"/>
          <w:sz w:val="32"/>
          <w:szCs w:val="32"/>
        </w:rPr>
        <w:t>0.25</w:t>
      </w:r>
      <w:r>
        <w:rPr>
          <w:rFonts w:hint="eastAsia" w:eastAsia="仿宋_GB2312" w:cs="Times New Roman"/>
          <w:sz w:val="32"/>
          <w:szCs w:val="32"/>
        </w:rPr>
        <w:t>亿元；流域河道综合治理与生态修复类项目</w:t>
      </w:r>
      <w:r>
        <w:rPr>
          <w:rFonts w:eastAsia="仿宋_GB2312" w:cs="Times New Roman"/>
          <w:sz w:val="32"/>
          <w:szCs w:val="32"/>
        </w:rPr>
        <w:t>5</w:t>
      </w:r>
      <w:r>
        <w:rPr>
          <w:rFonts w:hint="eastAsia" w:eastAsia="仿宋_GB2312" w:cs="Times New Roman"/>
          <w:sz w:val="32"/>
          <w:szCs w:val="32"/>
        </w:rPr>
        <w:t>个，包括河道管护工程</w:t>
      </w:r>
      <w:r>
        <w:rPr>
          <w:rFonts w:eastAsia="仿宋_GB2312" w:cs="Times New Roman"/>
          <w:sz w:val="32"/>
          <w:szCs w:val="32"/>
        </w:rPr>
        <w:t>3</w:t>
      </w:r>
      <w:r>
        <w:rPr>
          <w:rFonts w:hint="eastAsia" w:eastAsia="仿宋_GB2312" w:cs="Times New Roman"/>
          <w:sz w:val="32"/>
          <w:szCs w:val="32"/>
        </w:rPr>
        <w:t>个、断面综合管控工程</w:t>
      </w:r>
      <w:r>
        <w:rPr>
          <w:rFonts w:eastAsia="仿宋_GB2312" w:cs="Times New Roman"/>
          <w:sz w:val="32"/>
          <w:szCs w:val="32"/>
        </w:rPr>
        <w:t>1</w:t>
      </w:r>
      <w:r>
        <w:rPr>
          <w:rFonts w:hint="eastAsia" w:eastAsia="仿宋_GB2312" w:cs="Times New Roman"/>
          <w:sz w:val="32"/>
          <w:szCs w:val="32"/>
        </w:rPr>
        <w:t>个、河道生态补水工程</w:t>
      </w:r>
      <w:r>
        <w:rPr>
          <w:rFonts w:eastAsia="仿宋_GB2312" w:cs="Times New Roman"/>
          <w:sz w:val="32"/>
          <w:szCs w:val="32"/>
        </w:rPr>
        <w:t>1</w:t>
      </w:r>
      <w:r>
        <w:rPr>
          <w:rFonts w:hint="eastAsia" w:eastAsia="仿宋_GB2312" w:cs="Times New Roman"/>
          <w:sz w:val="32"/>
          <w:szCs w:val="32"/>
        </w:rPr>
        <w:t>个，投资约</w:t>
      </w:r>
      <w:r>
        <w:rPr>
          <w:rFonts w:eastAsia="仿宋_GB2312" w:cs="Times New Roman"/>
          <w:sz w:val="32"/>
          <w:szCs w:val="32"/>
        </w:rPr>
        <w:t>0.13</w:t>
      </w:r>
      <w:r>
        <w:rPr>
          <w:rFonts w:hint="eastAsia" w:eastAsia="仿宋_GB2312" w:cs="Times New Roman"/>
          <w:sz w:val="32"/>
          <w:szCs w:val="32"/>
        </w:rPr>
        <w:t>亿元。具体见附表</w:t>
      </w:r>
      <w:r>
        <w:rPr>
          <w:rFonts w:eastAsia="仿宋_GB2312" w:cs="Times New Roman"/>
          <w:sz w:val="32"/>
          <w:szCs w:val="32"/>
        </w:rPr>
        <w:t>1</w:t>
      </w:r>
      <w:r>
        <w:rPr>
          <w:rFonts w:hint="eastAsia" w:eastAsia="仿宋_GB2312" w:cs="Times New Roman"/>
          <w:sz w:val="32"/>
          <w:szCs w:val="32"/>
        </w:rPr>
        <w:t>。</w:t>
      </w:r>
    </w:p>
    <w:p>
      <w:pPr>
        <w:pStyle w:val="3"/>
        <w:autoSpaceDN w:val="0"/>
        <w:adjustRightInd w:val="0"/>
        <w:snapToGrid w:val="0"/>
        <w:spacing w:line="590" w:lineRule="exact"/>
        <w:ind w:firstLine="643"/>
        <w:rPr>
          <w:rFonts w:eastAsia="楷体_GB2312"/>
        </w:rPr>
      </w:pPr>
      <w:bookmarkStart w:id="150" w:name="_Toc21613543"/>
      <w:r>
        <w:rPr>
          <w:rFonts w:eastAsia="楷体_GB2312"/>
        </w:rPr>
        <w:t>8.2</w:t>
      </w:r>
      <w:r>
        <w:rPr>
          <w:rFonts w:hint="eastAsia" w:eastAsia="楷体_GB2312"/>
        </w:rPr>
        <w:t>目标可达性分析</w:t>
      </w:r>
      <w:bookmarkEnd w:id="150"/>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通过本方案城镇生活污水治理、农村生活污染治理、河道综合治理与生态修复等工程的实施，基本能保证龙河水质的稳定达标。</w:t>
      </w:r>
    </w:p>
    <w:p>
      <w:pPr>
        <w:pStyle w:val="3"/>
        <w:autoSpaceDN w:val="0"/>
        <w:adjustRightInd w:val="0"/>
        <w:snapToGrid w:val="0"/>
        <w:spacing w:line="590" w:lineRule="exact"/>
        <w:ind w:firstLine="643"/>
        <w:rPr>
          <w:rFonts w:eastAsia="楷体_GB2312"/>
        </w:rPr>
      </w:pPr>
      <w:bookmarkStart w:id="151" w:name="_Toc21613544"/>
      <w:r>
        <w:rPr>
          <w:rFonts w:eastAsia="楷体_GB2312"/>
        </w:rPr>
        <w:t>8.3</w:t>
      </w:r>
      <w:r>
        <w:rPr>
          <w:rFonts w:hint="eastAsia" w:eastAsia="楷体_GB2312"/>
        </w:rPr>
        <w:t>效益分析</w:t>
      </w:r>
      <w:bookmarkEnd w:id="151"/>
    </w:p>
    <w:p>
      <w:pPr>
        <w:autoSpaceDN w:val="0"/>
        <w:adjustRightInd w:val="0"/>
        <w:snapToGrid w:val="0"/>
        <w:spacing w:line="590" w:lineRule="exact"/>
        <w:ind w:firstLine="643"/>
        <w:rPr>
          <w:rFonts w:eastAsia="仿宋_GB2312" w:cs="Times New Roman"/>
          <w:b/>
          <w:sz w:val="32"/>
          <w:szCs w:val="32"/>
        </w:rPr>
      </w:pPr>
      <w:r>
        <w:rPr>
          <w:rFonts w:eastAsia="仿宋_GB2312" w:cs="Times New Roman"/>
          <w:b/>
          <w:sz w:val="32"/>
          <w:szCs w:val="32"/>
        </w:rPr>
        <w:t>8.3.1环境效益</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通过实施龙河流域污染源治理、湿地生态修复与保护等重点项目，分别实现化学需氧量和氨氮主要污染物的削减。同时工程建成后将会对改善龙河及环城水系等流域水质发挥直接的、积极的作用。</w:t>
      </w:r>
    </w:p>
    <w:p>
      <w:pPr>
        <w:autoSpaceDN w:val="0"/>
        <w:adjustRightInd w:val="0"/>
        <w:snapToGrid w:val="0"/>
        <w:spacing w:line="590" w:lineRule="exact"/>
        <w:ind w:firstLine="643"/>
        <w:rPr>
          <w:rFonts w:eastAsia="仿宋_GB2312" w:cs="Times New Roman"/>
          <w:b/>
          <w:sz w:val="32"/>
          <w:szCs w:val="32"/>
        </w:rPr>
      </w:pPr>
      <w:r>
        <w:rPr>
          <w:rFonts w:eastAsia="仿宋_GB2312" w:cs="Times New Roman"/>
          <w:b/>
          <w:sz w:val="32"/>
          <w:szCs w:val="32"/>
        </w:rPr>
        <w:t>8.3.2</w:t>
      </w:r>
      <w:r>
        <w:rPr>
          <w:rFonts w:hint="eastAsia" w:eastAsia="仿宋_GB2312" w:cs="Times New Roman"/>
          <w:b/>
          <w:sz w:val="32"/>
          <w:szCs w:val="32"/>
        </w:rPr>
        <w:t>生态效益</w:t>
      </w:r>
    </w:p>
    <w:p>
      <w:pPr>
        <w:adjustRightInd w:val="0"/>
        <w:snapToGrid w:val="0"/>
        <w:spacing w:line="590" w:lineRule="exact"/>
        <w:ind w:firstLine="640"/>
        <w:rPr>
          <w:kern w:val="0"/>
        </w:rPr>
      </w:pPr>
      <w:r>
        <w:rPr>
          <w:rFonts w:hint="eastAsia" w:eastAsia="仿宋_GB2312" w:cs="Times New Roman"/>
          <w:sz w:val="32"/>
          <w:szCs w:val="32"/>
        </w:rPr>
        <w:t>通过龙河流域人工湿地等项目的运行，维持了较高的生物多样性，提高了水体净化能力，使得生产生活污水得到有效处置，河流生态环境质量全面提升，河清、岸绿、景美的生态保护格局基本形成。</w:t>
      </w:r>
    </w:p>
    <w:p>
      <w:pPr>
        <w:autoSpaceDN w:val="0"/>
        <w:adjustRightInd w:val="0"/>
        <w:snapToGrid w:val="0"/>
        <w:spacing w:line="590" w:lineRule="exact"/>
        <w:ind w:firstLine="643"/>
        <w:rPr>
          <w:rFonts w:eastAsia="仿宋_GB2312" w:cs="Times New Roman"/>
          <w:b/>
          <w:sz w:val="32"/>
          <w:szCs w:val="32"/>
        </w:rPr>
      </w:pPr>
      <w:r>
        <w:rPr>
          <w:rFonts w:eastAsia="仿宋_GB2312" w:cs="Times New Roman"/>
          <w:b/>
          <w:sz w:val="32"/>
          <w:szCs w:val="32"/>
        </w:rPr>
        <w:t>8.3.3</w:t>
      </w:r>
      <w:r>
        <w:rPr>
          <w:rFonts w:hint="eastAsia" w:eastAsia="仿宋_GB2312" w:cs="Times New Roman"/>
          <w:b/>
          <w:sz w:val="32"/>
          <w:szCs w:val="32"/>
        </w:rPr>
        <w:t>社会效益</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本方案的实施，将有效促进区域水污染物的减少、生态环境的改善、资源的合理化利用，推动生态农业、生态养殖、生态旅游等产业的发展，保证了区域生态可持续发展，为居民提供更好的生态宜居环境。</w:t>
      </w:r>
    </w:p>
    <w:p>
      <w:pPr>
        <w:pStyle w:val="2"/>
        <w:adjustRightInd w:val="0"/>
        <w:snapToGrid w:val="0"/>
        <w:spacing w:line="590" w:lineRule="exact"/>
        <w:ind w:firstLine="640"/>
      </w:pPr>
      <w:bookmarkStart w:id="152" w:name="_Toc21613545"/>
      <w:r>
        <w:rPr>
          <w:rFonts w:hint="eastAsia"/>
        </w:rPr>
        <w:t>九、保障措施</w:t>
      </w:r>
      <w:bookmarkEnd w:id="152"/>
    </w:p>
    <w:p>
      <w:pPr>
        <w:pStyle w:val="3"/>
        <w:adjustRightInd w:val="0"/>
        <w:snapToGrid w:val="0"/>
        <w:spacing w:line="590" w:lineRule="exact"/>
        <w:ind w:firstLine="643"/>
        <w:rPr>
          <w:rFonts w:eastAsia="楷体_GB2312"/>
        </w:rPr>
      </w:pPr>
      <w:bookmarkStart w:id="153" w:name="_Toc21613546"/>
      <w:r>
        <w:rPr>
          <w:rFonts w:eastAsia="楷体_GB2312"/>
        </w:rPr>
        <w:t>9.1</w:t>
      </w:r>
      <w:r>
        <w:rPr>
          <w:rFonts w:hint="eastAsia" w:eastAsia="楷体_GB2312"/>
        </w:rPr>
        <w:t>加强组织领导，落实工作责任</w:t>
      </w:r>
      <w:bookmarkEnd w:id="153"/>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加强治污领导小组领导责任，落实领导小组成员责任，生态环境、住建、水利等各有关部门要各司其责，密切配合，加大资金投入，完善体制机制，加大方案实施力度。各部门对项目实施情况进行联合督办，在资金补助、用地管理、项目审批、资金投入等环节畅通衔接，建立政府主导、上下联动、横向协调的项目推进格局。</w:t>
      </w:r>
    </w:p>
    <w:p>
      <w:pPr>
        <w:adjustRightInd w:val="0"/>
        <w:snapToGrid w:val="0"/>
        <w:spacing w:line="590" w:lineRule="exact"/>
        <w:ind w:firstLine="624"/>
        <w:rPr>
          <w:rFonts w:eastAsia="仿宋_GB2312" w:cs="Times New Roman"/>
          <w:spacing w:val="-4"/>
          <w:sz w:val="32"/>
          <w:szCs w:val="32"/>
        </w:rPr>
      </w:pPr>
      <w:r>
        <w:rPr>
          <w:rFonts w:hint="eastAsia" w:eastAsia="仿宋_GB2312" w:cs="Times New Roman"/>
          <w:spacing w:val="-4"/>
          <w:sz w:val="32"/>
          <w:szCs w:val="32"/>
        </w:rPr>
        <w:t>分解落实各级政府责任与任务，把方案执行情况作为领导干部综合考核评价的重要内容，根据工程任务和年度目标完成情况，给予资金支持。市、区、镇各级政府以及各部门之间要加强协调，完善定期会商制度和协作应急处置机制，在水污染防治领域借鉴联防联控经验，形成治污合力。各区对达标方案实施情况进行信息公开，推动全社会参与和监督，确保各项工程任务全面完成。</w:t>
      </w:r>
    </w:p>
    <w:p>
      <w:pPr>
        <w:pStyle w:val="3"/>
        <w:adjustRightInd w:val="0"/>
        <w:snapToGrid w:val="0"/>
        <w:spacing w:line="590" w:lineRule="exact"/>
        <w:ind w:firstLine="643"/>
        <w:rPr>
          <w:rFonts w:eastAsia="楷体_GB2312"/>
        </w:rPr>
      </w:pPr>
      <w:bookmarkStart w:id="154" w:name="_Toc21613547"/>
      <w:r>
        <w:rPr>
          <w:rFonts w:eastAsia="楷体_GB2312"/>
        </w:rPr>
        <w:t>9.2</w:t>
      </w:r>
      <w:r>
        <w:rPr>
          <w:rFonts w:hint="eastAsia" w:eastAsia="楷体_GB2312"/>
        </w:rPr>
        <w:t>强化资金、科技保障</w:t>
      </w:r>
      <w:bookmarkEnd w:id="154"/>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加大龙河与城区水系治理的专项资金支持力度，创新财政生态环保支出方式，推广竞争性申报评审方式，逐步从</w:t>
      </w:r>
      <w:r>
        <w:rPr>
          <w:rFonts w:eastAsia="仿宋_GB2312" w:cs="Times New Roman"/>
          <w:sz w:val="32"/>
          <w:szCs w:val="32"/>
        </w:rPr>
        <w:t>“</w:t>
      </w:r>
      <w:r>
        <w:rPr>
          <w:rFonts w:hint="eastAsia" w:eastAsia="仿宋_GB2312" w:cs="Times New Roman"/>
          <w:sz w:val="32"/>
          <w:szCs w:val="32"/>
        </w:rPr>
        <w:t>补建设</w:t>
      </w:r>
      <w:r>
        <w:rPr>
          <w:rFonts w:eastAsia="仿宋_GB2312" w:cs="Times New Roman"/>
          <w:sz w:val="32"/>
          <w:szCs w:val="32"/>
        </w:rPr>
        <w:t>”</w:t>
      </w:r>
      <w:r>
        <w:rPr>
          <w:rFonts w:hint="eastAsia" w:eastAsia="仿宋_GB2312" w:cs="Times New Roman"/>
          <w:sz w:val="32"/>
          <w:szCs w:val="32"/>
        </w:rPr>
        <w:t>向</w:t>
      </w:r>
      <w:r>
        <w:rPr>
          <w:rFonts w:eastAsia="仿宋_GB2312" w:cs="Times New Roman"/>
          <w:sz w:val="32"/>
          <w:szCs w:val="32"/>
        </w:rPr>
        <w:t>“</w:t>
      </w:r>
      <w:r>
        <w:rPr>
          <w:rFonts w:hint="eastAsia" w:eastAsia="仿宋_GB2312" w:cs="Times New Roman"/>
          <w:sz w:val="32"/>
          <w:szCs w:val="32"/>
        </w:rPr>
        <w:t>补运营</w:t>
      </w:r>
      <w:r>
        <w:rPr>
          <w:rFonts w:eastAsia="仿宋_GB2312" w:cs="Times New Roman"/>
          <w:sz w:val="32"/>
          <w:szCs w:val="32"/>
        </w:rPr>
        <w:t>”</w:t>
      </w:r>
      <w:r>
        <w:rPr>
          <w:rFonts w:hint="eastAsia" w:eastAsia="仿宋_GB2312" w:cs="Times New Roman"/>
          <w:sz w:val="32"/>
          <w:szCs w:val="32"/>
        </w:rPr>
        <w:t>、</w:t>
      </w:r>
      <w:r>
        <w:rPr>
          <w:rFonts w:eastAsia="仿宋_GB2312" w:cs="Times New Roman"/>
          <w:sz w:val="32"/>
          <w:szCs w:val="32"/>
        </w:rPr>
        <w:t>“</w:t>
      </w:r>
      <w:r>
        <w:rPr>
          <w:rFonts w:hint="eastAsia" w:eastAsia="仿宋_GB2312" w:cs="Times New Roman"/>
          <w:sz w:val="32"/>
          <w:szCs w:val="32"/>
        </w:rPr>
        <w:t>前补助</w:t>
      </w:r>
      <w:r>
        <w:rPr>
          <w:rFonts w:eastAsia="仿宋_GB2312" w:cs="Times New Roman"/>
          <w:sz w:val="32"/>
          <w:szCs w:val="32"/>
        </w:rPr>
        <w:t>”</w:t>
      </w:r>
      <w:r>
        <w:rPr>
          <w:rFonts w:hint="eastAsia" w:eastAsia="仿宋_GB2312" w:cs="Times New Roman"/>
          <w:sz w:val="32"/>
          <w:szCs w:val="32"/>
        </w:rPr>
        <w:t>向</w:t>
      </w:r>
      <w:r>
        <w:rPr>
          <w:rFonts w:eastAsia="仿宋_GB2312" w:cs="Times New Roman"/>
          <w:sz w:val="32"/>
          <w:szCs w:val="32"/>
        </w:rPr>
        <w:t>“</w:t>
      </w:r>
      <w:r>
        <w:rPr>
          <w:rFonts w:hint="eastAsia" w:eastAsia="仿宋_GB2312" w:cs="Times New Roman"/>
          <w:sz w:val="32"/>
          <w:szCs w:val="32"/>
        </w:rPr>
        <w:t>后补助</w:t>
      </w:r>
      <w:r>
        <w:rPr>
          <w:rFonts w:eastAsia="仿宋_GB2312" w:cs="Times New Roman"/>
          <w:sz w:val="32"/>
          <w:szCs w:val="32"/>
        </w:rPr>
        <w:t>”</w:t>
      </w:r>
      <w:r>
        <w:rPr>
          <w:rFonts w:hint="eastAsia" w:eastAsia="仿宋_GB2312" w:cs="Times New Roman"/>
          <w:sz w:val="32"/>
          <w:szCs w:val="32"/>
        </w:rPr>
        <w:t>转变。推行依效付费的机制，按照环境改善绩效实施以奖代补，优先支持政府和社会资本合作项目。鼓励社会资本以市场化方式设立环境保护基金，积极推行政府与社会资本合作，探索以资源综合利用收益弥补污染防治项目投入和社会资本回报，吸引社会资本参与。</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依托京津冀区域以及海河流域相关科研成果，重点借鉴河流水质水量均衡、河湖污染生态修复、湿地保护与利用、农业非点源污染控制、城镇分散式污水处理、污泥无害化处理处置、氮磷污染物控制等方面的技术研发与应用。</w:t>
      </w:r>
    </w:p>
    <w:p>
      <w:pPr>
        <w:pStyle w:val="3"/>
        <w:adjustRightInd w:val="0"/>
        <w:snapToGrid w:val="0"/>
        <w:spacing w:line="590" w:lineRule="exact"/>
        <w:ind w:firstLine="643"/>
        <w:rPr>
          <w:rFonts w:eastAsia="楷体_GB2312"/>
        </w:rPr>
      </w:pPr>
      <w:bookmarkStart w:id="155" w:name="_Toc21613548"/>
      <w:r>
        <w:rPr>
          <w:rFonts w:eastAsia="楷体_GB2312"/>
        </w:rPr>
        <w:t>9.3</w:t>
      </w:r>
      <w:r>
        <w:rPr>
          <w:rFonts w:hint="eastAsia" w:eastAsia="楷体_GB2312"/>
        </w:rPr>
        <w:t>强化公众参与与监督</w:t>
      </w:r>
      <w:bookmarkEnd w:id="155"/>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完善龙河及城区水系达标方案实施情况调度机制，定期公开重大工程进展调度情况。完善水环境信息共享与公开制度，强化各相关部门通力协作，实现龙河及城区水系水质、重点污染源、污染事故等有关信息的共享，加快环境信息公开平台建设，并及时发布信息，让公众了解流域与区域水环境质量。</w:t>
      </w:r>
    </w:p>
    <w:p>
      <w:pPr>
        <w:adjustRightInd w:val="0"/>
        <w:snapToGrid w:val="0"/>
        <w:spacing w:line="590" w:lineRule="exact"/>
        <w:ind w:firstLine="640"/>
      </w:pPr>
      <w:r>
        <w:rPr>
          <w:rFonts w:hint="eastAsia" w:eastAsia="仿宋_GB2312" w:cs="Times New Roman"/>
          <w:sz w:val="32"/>
          <w:szCs w:val="32"/>
        </w:rPr>
        <w:t>加强环境宣传与教育，调动全社会积极性，推动方案各项工程任务的实施。通过设置热线电话或公众信箱、开展社会调查或环境信访等途径获得公众反馈信息，及时解决群众反映强烈的环境问题。完善公众信访工作协调机制，建立公众对话沟通平台，方便公众通过多种渠道参与政府环境管理和监督。</w:t>
      </w:r>
    </w:p>
    <w:p>
      <w:pPr>
        <w:spacing w:line="590" w:lineRule="exact"/>
        <w:ind w:firstLine="480"/>
        <w:sectPr>
          <w:footerReference r:id="rId19" w:type="default"/>
          <w:footerReference r:id="rId20" w:type="even"/>
          <w:pgSz w:w="11906" w:h="16838"/>
          <w:pgMar w:top="2098" w:right="1531" w:bottom="1474" w:left="1531" w:header="851" w:footer="850" w:gutter="0"/>
          <w:cols w:space="720" w:num="1"/>
          <w:docGrid w:type="lines" w:linePitch="442" w:charSpace="0"/>
        </w:sectPr>
      </w:pPr>
    </w:p>
    <w:p>
      <w:pPr>
        <w:pStyle w:val="2"/>
        <w:spacing w:after="216" w:afterLines="90"/>
        <w:ind w:firstLine="0" w:firstLineChars="0"/>
        <w:jc w:val="both"/>
        <w:rPr>
          <w:rFonts w:ascii="黑体" w:hAnsi="黑体" w:cs="黑体"/>
          <w:bCs w:val="0"/>
        </w:rPr>
      </w:pPr>
      <w:bookmarkStart w:id="156" w:name="_Toc21613549"/>
      <w:r>
        <w:rPr>
          <w:rFonts w:hint="eastAsia" w:ascii="黑体" w:hAnsi="黑体" w:cs="黑体"/>
          <w:bCs w:val="0"/>
        </w:rPr>
        <w:t>附表</w:t>
      </w:r>
      <w:r>
        <w:rPr>
          <w:rFonts w:ascii="黑体" w:hAnsi="黑体" w:cs="黑体"/>
          <w:bCs w:val="0"/>
        </w:rPr>
        <w:t>1</w:t>
      </w:r>
      <w:r>
        <w:rPr>
          <w:rFonts w:hint="eastAsia" w:ascii="黑体" w:hAnsi="黑体" w:cs="黑体"/>
          <w:bCs w:val="0"/>
        </w:rPr>
        <w:t>：                       重点工程项目及投资汇总</w:t>
      </w:r>
      <w:bookmarkEnd w:id="156"/>
    </w:p>
    <w:tbl>
      <w:tblPr>
        <w:tblStyle w:val="11"/>
        <w:tblW w:w="133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0"/>
        <w:gridCol w:w="947"/>
        <w:gridCol w:w="2080"/>
        <w:gridCol w:w="1280"/>
        <w:gridCol w:w="1313"/>
        <w:gridCol w:w="1526"/>
        <w:gridCol w:w="1596"/>
        <w:gridCol w:w="2821"/>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1" w:hRule="atLeast"/>
          <w:tblHeader/>
          <w:jc w:val="center"/>
        </w:trPr>
        <w:tc>
          <w:tcPr>
            <w:tcW w:w="570"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序号</w:t>
            </w:r>
          </w:p>
        </w:tc>
        <w:tc>
          <w:tcPr>
            <w:tcW w:w="947"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隶属</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关系</w:t>
            </w:r>
          </w:p>
        </w:tc>
        <w:tc>
          <w:tcPr>
            <w:tcW w:w="2080"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项目类型</w:t>
            </w:r>
          </w:p>
        </w:tc>
        <w:tc>
          <w:tcPr>
            <w:tcW w:w="1280"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项目名称</w:t>
            </w:r>
          </w:p>
        </w:tc>
        <w:tc>
          <w:tcPr>
            <w:tcW w:w="1313"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地点</w:t>
            </w:r>
          </w:p>
        </w:tc>
        <w:tc>
          <w:tcPr>
            <w:tcW w:w="1526"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建设</w:t>
            </w:r>
          </w:p>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周期</w:t>
            </w:r>
          </w:p>
        </w:tc>
        <w:tc>
          <w:tcPr>
            <w:tcW w:w="1596"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承担单位</w:t>
            </w:r>
          </w:p>
        </w:tc>
        <w:tc>
          <w:tcPr>
            <w:tcW w:w="2821"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项目建设规模与内容</w:t>
            </w:r>
          </w:p>
        </w:tc>
        <w:tc>
          <w:tcPr>
            <w:tcW w:w="1167" w:type="dxa"/>
            <w:vAlign w:val="center"/>
          </w:tcPr>
          <w:p>
            <w:pPr>
              <w:widowControl/>
              <w:snapToGrid w:val="0"/>
              <w:spacing w:line="240" w:lineRule="auto"/>
              <w:ind w:firstLine="0" w:firstLineChars="0"/>
              <w:jc w:val="center"/>
              <w:rPr>
                <w:rFonts w:eastAsia="仿宋_GB2312" w:cs="Times New Roman"/>
                <w:b/>
                <w:bCs/>
                <w:color w:val="000000"/>
                <w:kern w:val="0"/>
                <w:sz w:val="21"/>
                <w:szCs w:val="21"/>
              </w:rPr>
            </w:pPr>
            <w:r>
              <w:rPr>
                <w:rFonts w:eastAsia="仿宋_GB2312" w:cs="Times New Roman"/>
                <w:b/>
                <w:bCs/>
                <w:color w:val="000000"/>
                <w:kern w:val="0"/>
                <w:sz w:val="21"/>
                <w:szCs w:val="21"/>
              </w:rPr>
              <w:t>项目总投资（万元）</w:t>
            </w:r>
            <w:r>
              <w:rPr>
                <w:rFonts w:eastAsia="仿宋_GB2312" w:cs="Times New Roman"/>
                <w:color w:val="000000"/>
                <w:kern w:val="0"/>
                <w:sz w:val="21"/>
                <w:szCs w:val="21"/>
              </w:rPr>
              <w: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jc w:val="center"/>
        </w:trPr>
        <w:tc>
          <w:tcPr>
            <w:tcW w:w="12133" w:type="dxa"/>
            <w:gridSpan w:val="8"/>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合计</w:t>
            </w:r>
          </w:p>
        </w:tc>
        <w:tc>
          <w:tcPr>
            <w:tcW w:w="1167" w:type="dxa"/>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18750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0" w:hRule="atLeast"/>
          <w:jc w:val="center"/>
        </w:trPr>
        <w:tc>
          <w:tcPr>
            <w:tcW w:w="12133" w:type="dxa"/>
            <w:gridSpan w:val="8"/>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w:t>
            </w:r>
            <w:r>
              <w:rPr>
                <w:rFonts w:hint="eastAsia" w:eastAsia="仿宋_GB2312" w:cs="Times New Roman"/>
                <w:b/>
                <w:color w:val="000000"/>
                <w:kern w:val="0"/>
                <w:sz w:val="21"/>
                <w:szCs w:val="21"/>
              </w:rPr>
              <w:t>-</w:t>
            </w:r>
            <w:r>
              <w:rPr>
                <w:rFonts w:eastAsia="仿宋_GB2312" w:cs="Times New Roman"/>
                <w:b/>
                <w:color w:val="000000"/>
                <w:kern w:val="0"/>
                <w:sz w:val="21"/>
                <w:szCs w:val="21"/>
              </w:rPr>
              <w:t>污染源治理类型项目小计</w:t>
            </w:r>
          </w:p>
        </w:tc>
        <w:tc>
          <w:tcPr>
            <w:tcW w:w="1167" w:type="dxa"/>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17500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14"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0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集中式污水处理设施配套管网工程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大皮营引渠两岸污水管网完善工程</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大皮营引渠</w:t>
            </w:r>
          </w:p>
        </w:tc>
        <w:tc>
          <w:tcPr>
            <w:tcW w:w="1526" w:type="dxa"/>
            <w:vAlign w:val="center"/>
          </w:tcPr>
          <w:p>
            <w:pPr>
              <w:widowControl/>
              <w:snapToGrid w:val="0"/>
              <w:spacing w:line="240" w:lineRule="auto"/>
              <w:ind w:firstLine="0" w:firstLineChars="0"/>
              <w:jc w:val="center"/>
              <w:rPr>
                <w:rFonts w:hint="eastAsia"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廊坊市住建局、广阳区政府</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持续推进支渠沿线管网完善、污水排口封堵、污水溢流维护等。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43"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0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集中式污水处理设施配套管网工程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六干渠两岸污水管网完善工程</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六干渠</w:t>
            </w:r>
          </w:p>
        </w:tc>
        <w:tc>
          <w:tcPr>
            <w:tcW w:w="152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持续推进支渠沿线管网完善、污水排口封堵、污水溢流维护等。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00"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0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集中式污水处理设施配套管网工程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八干渠两岸污水管网完善工程</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八干渠</w:t>
            </w:r>
          </w:p>
        </w:tc>
        <w:tc>
          <w:tcPr>
            <w:tcW w:w="152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廊坊市住建局、广阳区政府</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持续推进支渠沿线管网完善、污水排口封堵、污水溢流维护等。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58"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0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集中式污水处理设施配套管网工程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龙河以南管网完善工程</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w:t>
            </w:r>
          </w:p>
        </w:tc>
        <w:tc>
          <w:tcPr>
            <w:tcW w:w="152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安次区政府</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龙河以南片区污水管网建设。</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49"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0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集中式污水处理设施升级改造工程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凯发新泉水务有限公司一期升级改造</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龙河经济开发区</w:t>
            </w:r>
          </w:p>
        </w:tc>
        <w:tc>
          <w:tcPr>
            <w:tcW w:w="152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凯发新泉水务有限公司一期8万吨/日处理能力的升级改造工程，出水达到京B标准。</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7" w:hRule="atLeast"/>
          <w:jc w:val="center"/>
        </w:trPr>
        <w:tc>
          <w:tcPr>
            <w:tcW w:w="12133" w:type="dxa"/>
            <w:gridSpan w:val="8"/>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2</w:t>
            </w:r>
            <w:r>
              <w:rPr>
                <w:rFonts w:hint="eastAsia" w:eastAsia="仿宋_GB2312" w:cs="Times New Roman"/>
                <w:b/>
                <w:color w:val="000000"/>
                <w:kern w:val="0"/>
                <w:sz w:val="21"/>
                <w:szCs w:val="21"/>
              </w:rPr>
              <w:t>-</w:t>
            </w:r>
            <w:r>
              <w:rPr>
                <w:rFonts w:eastAsia="仿宋_GB2312" w:cs="Times New Roman"/>
                <w:b/>
                <w:color w:val="000000"/>
                <w:kern w:val="0"/>
                <w:sz w:val="21"/>
                <w:szCs w:val="21"/>
              </w:rPr>
              <w:t>生态修复与保护类型项目小计</w:t>
            </w:r>
          </w:p>
        </w:tc>
        <w:tc>
          <w:tcPr>
            <w:tcW w:w="1167" w:type="dxa"/>
            <w:vAlign w:val="center"/>
          </w:tcPr>
          <w:p>
            <w:pPr>
              <w:widowControl/>
              <w:snapToGrid w:val="0"/>
              <w:spacing w:line="240" w:lineRule="auto"/>
              <w:ind w:firstLine="0" w:firstLineChars="0"/>
              <w:jc w:val="center"/>
              <w:rPr>
                <w:rFonts w:eastAsia="仿宋_GB2312" w:cs="Times New Roman"/>
                <w:b/>
                <w:color w:val="000000"/>
                <w:kern w:val="0"/>
                <w:sz w:val="21"/>
                <w:szCs w:val="21"/>
              </w:rPr>
            </w:pPr>
            <w:r>
              <w:rPr>
                <w:rFonts w:eastAsia="仿宋_GB2312" w:cs="Times New Roman"/>
                <w:b/>
                <w:color w:val="000000"/>
                <w:kern w:val="0"/>
                <w:sz w:val="21"/>
                <w:szCs w:val="21"/>
              </w:rPr>
              <w:t>1250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5" w:hRule="atLeast"/>
          <w:jc w:val="center"/>
        </w:trPr>
        <w:tc>
          <w:tcPr>
            <w:tcW w:w="57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w:t>
            </w:r>
          </w:p>
        </w:tc>
        <w:tc>
          <w:tcPr>
            <w:tcW w:w="94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080"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河道管护工程</w:t>
            </w:r>
          </w:p>
        </w:tc>
        <w:tc>
          <w:tcPr>
            <w:tcW w:w="1280"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龙河河道管护工程</w:t>
            </w:r>
          </w:p>
        </w:tc>
        <w:tc>
          <w:tcPr>
            <w:tcW w:w="1313"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龙河广阳段</w:t>
            </w:r>
          </w:p>
        </w:tc>
        <w:tc>
          <w:tcPr>
            <w:tcW w:w="152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广阳区政府</w:t>
            </w:r>
          </w:p>
        </w:tc>
        <w:tc>
          <w:tcPr>
            <w:tcW w:w="2821" w:type="dxa"/>
            <w:vAlign w:val="center"/>
          </w:tcPr>
          <w:p>
            <w:pPr>
              <w:widowControl/>
              <w:snapToGrid w:val="0"/>
              <w:spacing w:line="240" w:lineRule="auto"/>
              <w:ind w:firstLine="0" w:firstLineChars="0"/>
              <w:rPr>
                <w:rFonts w:eastAsia="仿宋_GB2312" w:cs="Times New Roman"/>
                <w:color w:val="000000"/>
                <w:kern w:val="0"/>
                <w:sz w:val="21"/>
                <w:szCs w:val="21"/>
              </w:rPr>
            </w:pPr>
            <w:r>
              <w:rPr>
                <w:rFonts w:eastAsia="仿宋_GB2312" w:cs="Times New Roman"/>
                <w:color w:val="000000"/>
                <w:kern w:val="0"/>
                <w:sz w:val="21"/>
                <w:szCs w:val="21"/>
              </w:rPr>
              <w:t>通过第三方购买服务定期开展龙河广阳段河道垃圾、漂浮物、水草清理等。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67" w:hRule="atLeast"/>
          <w:jc w:val="center"/>
        </w:trPr>
        <w:tc>
          <w:tcPr>
            <w:tcW w:w="57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w:t>
            </w:r>
          </w:p>
        </w:tc>
        <w:tc>
          <w:tcPr>
            <w:tcW w:w="947"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08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河道管护工程</w:t>
            </w:r>
          </w:p>
        </w:tc>
        <w:tc>
          <w:tcPr>
            <w:tcW w:w="1280"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龙河河道管护工程</w:t>
            </w:r>
          </w:p>
        </w:tc>
        <w:tc>
          <w:tcPr>
            <w:tcW w:w="1313"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龙河安次段</w:t>
            </w:r>
          </w:p>
        </w:tc>
        <w:tc>
          <w:tcPr>
            <w:tcW w:w="152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2019—2020</w:t>
            </w:r>
            <w:r>
              <w:rPr>
                <w:rFonts w:hint="eastAsia" w:eastAsia="仿宋_GB2312" w:cs="Times New Roman"/>
                <w:color w:val="000000"/>
                <w:kern w:val="0"/>
                <w:sz w:val="21"/>
                <w:szCs w:val="21"/>
              </w:rPr>
              <w:t>年</w:t>
            </w:r>
          </w:p>
        </w:tc>
        <w:tc>
          <w:tcPr>
            <w:tcW w:w="159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安次区政府</w:t>
            </w:r>
          </w:p>
        </w:tc>
        <w:tc>
          <w:tcPr>
            <w:tcW w:w="2821"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通过第三方购买服务定期开展龙河安次段河道垃圾、漂浮物、水草清理等。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93" w:hRule="atLeast"/>
          <w:jc w:val="center"/>
        </w:trPr>
        <w:tc>
          <w:tcPr>
            <w:tcW w:w="57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3</w:t>
            </w:r>
          </w:p>
        </w:tc>
        <w:tc>
          <w:tcPr>
            <w:tcW w:w="947"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w:t>
            </w:r>
          </w:p>
        </w:tc>
        <w:tc>
          <w:tcPr>
            <w:tcW w:w="208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河道管护工程</w:t>
            </w:r>
          </w:p>
        </w:tc>
        <w:tc>
          <w:tcPr>
            <w:tcW w:w="1280"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环城水系河道管护工程</w:t>
            </w:r>
          </w:p>
        </w:tc>
        <w:tc>
          <w:tcPr>
            <w:tcW w:w="1313"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环城水系</w:t>
            </w:r>
          </w:p>
        </w:tc>
        <w:tc>
          <w:tcPr>
            <w:tcW w:w="152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59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廊坊市水利局</w:t>
            </w:r>
          </w:p>
        </w:tc>
        <w:tc>
          <w:tcPr>
            <w:tcW w:w="2821"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通过第三方购买服务定期开展环城水系河道垃圾、漂浮物、水草清理等。</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49" w:hRule="atLeast"/>
          <w:jc w:val="center"/>
        </w:trPr>
        <w:tc>
          <w:tcPr>
            <w:tcW w:w="57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4</w:t>
            </w:r>
          </w:p>
        </w:tc>
        <w:tc>
          <w:tcPr>
            <w:tcW w:w="947"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广阳区</w:t>
            </w:r>
          </w:p>
        </w:tc>
        <w:tc>
          <w:tcPr>
            <w:tcW w:w="208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河道生态补水工程</w:t>
            </w:r>
          </w:p>
        </w:tc>
        <w:tc>
          <w:tcPr>
            <w:tcW w:w="1280"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龙河上游生态补水工程</w:t>
            </w:r>
          </w:p>
        </w:tc>
        <w:tc>
          <w:tcPr>
            <w:tcW w:w="1313"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龙河广阳段</w:t>
            </w:r>
          </w:p>
        </w:tc>
        <w:tc>
          <w:tcPr>
            <w:tcW w:w="152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59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廊坊市住建局、廊坊市水利局</w:t>
            </w:r>
          </w:p>
        </w:tc>
        <w:tc>
          <w:tcPr>
            <w:tcW w:w="2821"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通过南水北调工程及输水配套设施建设开展龙河生态补水，补水规模1000万立方米。</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29" w:hRule="atLeast"/>
          <w:jc w:val="center"/>
        </w:trPr>
        <w:tc>
          <w:tcPr>
            <w:tcW w:w="57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5</w:t>
            </w:r>
          </w:p>
        </w:tc>
        <w:tc>
          <w:tcPr>
            <w:tcW w:w="947"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w:t>
            </w:r>
          </w:p>
        </w:tc>
        <w:tc>
          <w:tcPr>
            <w:tcW w:w="2080"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综合管控工程</w:t>
            </w:r>
          </w:p>
        </w:tc>
        <w:tc>
          <w:tcPr>
            <w:tcW w:w="1280"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断面综合管控工程</w:t>
            </w:r>
          </w:p>
        </w:tc>
        <w:tc>
          <w:tcPr>
            <w:tcW w:w="1313"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大王务断面</w:t>
            </w:r>
          </w:p>
        </w:tc>
        <w:tc>
          <w:tcPr>
            <w:tcW w:w="152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2019</w:t>
            </w:r>
            <w:r>
              <w:rPr>
                <w:rFonts w:hint="eastAsia" w:eastAsia="仿宋_GB2312" w:cs="Times New Roman"/>
                <w:color w:val="000000"/>
                <w:kern w:val="0"/>
                <w:sz w:val="21"/>
                <w:szCs w:val="21"/>
              </w:rPr>
              <w:t>—</w:t>
            </w:r>
            <w:r>
              <w:rPr>
                <w:rFonts w:eastAsia="仿宋_GB2312" w:cs="Times New Roman"/>
                <w:color w:val="000000"/>
                <w:kern w:val="0"/>
                <w:sz w:val="21"/>
                <w:szCs w:val="21"/>
              </w:rPr>
              <w:t>2020</w:t>
            </w:r>
            <w:r>
              <w:rPr>
                <w:rFonts w:hint="eastAsia" w:eastAsia="仿宋_GB2312" w:cs="Times New Roman"/>
                <w:color w:val="000000"/>
                <w:kern w:val="0"/>
                <w:sz w:val="21"/>
                <w:szCs w:val="21"/>
              </w:rPr>
              <w:t>年</w:t>
            </w:r>
          </w:p>
        </w:tc>
        <w:tc>
          <w:tcPr>
            <w:tcW w:w="1596" w:type="dxa"/>
            <w:vAlign w:val="center"/>
          </w:tcPr>
          <w:p>
            <w:pPr>
              <w:widowControl/>
              <w:snapToGrid w:val="0"/>
              <w:spacing w:line="360" w:lineRule="exact"/>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安次区政府</w:t>
            </w:r>
          </w:p>
        </w:tc>
        <w:tc>
          <w:tcPr>
            <w:tcW w:w="2821" w:type="dxa"/>
            <w:vAlign w:val="center"/>
          </w:tcPr>
          <w:p>
            <w:pPr>
              <w:widowControl/>
              <w:snapToGrid w:val="0"/>
              <w:spacing w:line="360" w:lineRule="exact"/>
              <w:ind w:firstLine="0" w:firstLineChars="0"/>
              <w:rPr>
                <w:rFonts w:eastAsia="仿宋_GB2312" w:cs="Times New Roman"/>
                <w:color w:val="000000"/>
                <w:kern w:val="0"/>
                <w:sz w:val="21"/>
                <w:szCs w:val="21"/>
              </w:rPr>
            </w:pPr>
            <w:r>
              <w:rPr>
                <w:rFonts w:eastAsia="仿宋_GB2312" w:cs="Times New Roman"/>
                <w:color w:val="000000"/>
                <w:kern w:val="0"/>
                <w:sz w:val="21"/>
                <w:szCs w:val="21"/>
              </w:rPr>
              <w:t>大王务断面上游1.5公里生态维护、藻类监测、水量调度、垃圾清理等维护水质的精细化管理措施。</w:t>
            </w:r>
          </w:p>
        </w:tc>
        <w:tc>
          <w:tcPr>
            <w:tcW w:w="1167" w:type="dxa"/>
            <w:vAlign w:val="center"/>
          </w:tcPr>
          <w:p>
            <w:pPr>
              <w:widowControl/>
              <w:snapToGrid w:val="0"/>
              <w:spacing w:line="240" w:lineRule="auto"/>
              <w:ind w:firstLine="0" w:firstLineChars="0"/>
              <w:jc w:val="center"/>
              <w:rPr>
                <w:rFonts w:eastAsia="仿宋_GB2312" w:cs="Times New Roman"/>
                <w:color w:val="000000"/>
                <w:kern w:val="0"/>
                <w:sz w:val="21"/>
                <w:szCs w:val="21"/>
              </w:rPr>
            </w:pPr>
            <w:r>
              <w:rPr>
                <w:rFonts w:eastAsia="仿宋_GB2312" w:cs="Times New Roman"/>
                <w:color w:val="000000"/>
                <w:kern w:val="0"/>
                <w:sz w:val="21"/>
                <w:szCs w:val="21"/>
              </w:rPr>
              <w:t>200</w:t>
            </w:r>
          </w:p>
        </w:tc>
      </w:tr>
    </w:tbl>
    <w:p>
      <w:pPr>
        <w:pStyle w:val="12"/>
        <w:autoSpaceDN w:val="0"/>
        <w:snapToGrid w:val="0"/>
        <w:spacing w:line="14" w:lineRule="exact"/>
        <w:ind w:firstLine="0" w:firstLineChars="0"/>
        <w:rPr>
          <w:rFonts w:ascii="Times New Roman" w:hAnsi="Times New Roman" w:eastAsia="仿宋_GB2312"/>
          <w:sz w:val="32"/>
          <w:szCs w:val="32"/>
        </w:rPr>
        <w:sectPr>
          <w:footerReference r:id="rId21" w:type="default"/>
          <w:footerReference r:id="rId22" w:type="even"/>
          <w:pgSz w:w="16838" w:h="11906" w:orient="landscape"/>
          <w:pgMar w:top="1531" w:right="2098" w:bottom="1531" w:left="1474" w:header="851" w:footer="1531" w:gutter="0"/>
          <w:cols w:space="720" w:num="1"/>
          <w:docGrid w:linePitch="312" w:charSpace="0"/>
        </w:sectPr>
      </w:pPr>
    </w:p>
    <w:p>
      <w:pPr>
        <w:autoSpaceDN w:val="0"/>
        <w:snapToGrid w:val="0"/>
        <w:spacing w:line="590" w:lineRule="exact"/>
        <w:ind w:firstLine="0" w:firstLineChars="0"/>
        <w:jc w:val="center"/>
        <w:rPr>
          <w:rFonts w:eastAsia="方正小标宋简体"/>
          <w:sz w:val="44"/>
          <w:szCs w:val="44"/>
        </w:rPr>
      </w:pPr>
      <w:r>
        <w:rPr>
          <w:rFonts w:hint="eastAsia" w:eastAsia="方正小标宋简体"/>
          <w:sz w:val="44"/>
          <w:szCs w:val="44"/>
        </w:rPr>
        <w:t>廊坊市大清河水质达标方案（修订版）</w:t>
      </w:r>
    </w:p>
    <w:p>
      <w:pPr>
        <w:pStyle w:val="2"/>
        <w:adjustRightInd w:val="0"/>
        <w:snapToGrid w:val="0"/>
        <w:spacing w:line="590" w:lineRule="exact"/>
        <w:ind w:firstLine="0" w:firstLineChars="0"/>
        <w:jc w:val="both"/>
        <w:rPr>
          <w:rFonts w:hint="eastAsia"/>
          <w:b/>
          <w:szCs w:val="32"/>
        </w:rPr>
      </w:pPr>
      <w:bookmarkStart w:id="157" w:name="_Toc26234"/>
    </w:p>
    <w:p>
      <w:pPr>
        <w:pStyle w:val="2"/>
        <w:adjustRightInd w:val="0"/>
        <w:snapToGrid w:val="0"/>
        <w:spacing w:line="590" w:lineRule="exact"/>
        <w:ind w:firstLine="640"/>
        <w:jc w:val="both"/>
        <w:rPr>
          <w:szCs w:val="32"/>
        </w:rPr>
      </w:pPr>
      <w:r>
        <w:rPr>
          <w:rFonts w:hint="eastAsia"/>
          <w:szCs w:val="32"/>
        </w:rPr>
        <w:t>一、总则</w:t>
      </w:r>
      <w:bookmarkEnd w:id="157"/>
    </w:p>
    <w:p>
      <w:pPr>
        <w:pStyle w:val="3"/>
        <w:adjustRightInd w:val="0"/>
        <w:snapToGrid w:val="0"/>
        <w:spacing w:line="590" w:lineRule="exact"/>
        <w:ind w:firstLine="643"/>
        <w:rPr>
          <w:rFonts w:eastAsia="楷体_GB2312"/>
        </w:rPr>
      </w:pPr>
      <w:bookmarkStart w:id="158" w:name="_Toc9854"/>
      <w:r>
        <w:rPr>
          <w:rFonts w:eastAsia="楷体_GB2312"/>
        </w:rPr>
        <w:t>1.1</w:t>
      </w:r>
      <w:r>
        <w:rPr>
          <w:rFonts w:hint="eastAsia" w:eastAsia="楷体_GB2312"/>
        </w:rPr>
        <w:t>修订目的</w:t>
      </w:r>
      <w:bookmarkEnd w:id="158"/>
    </w:p>
    <w:p>
      <w:pPr>
        <w:adjustRightInd w:val="0"/>
        <w:snapToGrid w:val="0"/>
        <w:spacing w:line="590" w:lineRule="exact"/>
        <w:ind w:firstLine="664"/>
        <w:rPr>
          <w:rFonts w:eastAsia="仿宋_GB2312" w:cs="Times New Roman"/>
          <w:spacing w:val="6"/>
          <w:sz w:val="32"/>
          <w:szCs w:val="32"/>
        </w:rPr>
      </w:pPr>
      <w:r>
        <w:rPr>
          <w:rFonts w:eastAsia="仿宋_GB2312" w:cs="Times New Roman"/>
          <w:spacing w:val="6"/>
          <w:sz w:val="32"/>
          <w:szCs w:val="32"/>
        </w:rPr>
        <w:t>为全面贯彻落实党的十九大精神，以习近平生态文明思想为指导，牢固树立新发展理念，坚决落实党中央、国务院关于生态文明建设和污染防治攻坚战的决策部署和省委省政府关于污染防治攻坚战相关要求，针对廊坊市重点河流水环境质量总体好转、污染源治理初见成效、新的污染形势逐步突显的局面，在新理念、新部署、新形势、新要求下，进一步保障水环境质量目标稳定达标，提高水环境管理系统化、科学化、法治化、精细化水平，特对《廊坊市大清河水质达标方案》进行修订。</w:t>
      </w:r>
    </w:p>
    <w:p>
      <w:pPr>
        <w:pStyle w:val="3"/>
        <w:adjustRightInd w:val="0"/>
        <w:snapToGrid w:val="0"/>
        <w:spacing w:line="590" w:lineRule="exact"/>
        <w:ind w:firstLine="643"/>
        <w:rPr>
          <w:rFonts w:eastAsia="楷体_GB2312"/>
        </w:rPr>
      </w:pPr>
      <w:bookmarkStart w:id="159" w:name="_Toc10483"/>
      <w:r>
        <w:rPr>
          <w:rFonts w:eastAsia="楷体_GB2312"/>
        </w:rPr>
        <w:t>1.2</w:t>
      </w:r>
      <w:r>
        <w:rPr>
          <w:rFonts w:hint="eastAsia" w:eastAsia="楷体_GB2312"/>
        </w:rPr>
        <w:t>编制依据</w:t>
      </w:r>
      <w:bookmarkEnd w:id="159"/>
    </w:p>
    <w:p>
      <w:pPr>
        <w:pStyle w:val="4"/>
        <w:adjustRightInd w:val="0"/>
        <w:snapToGrid w:val="0"/>
        <w:spacing w:line="590" w:lineRule="exact"/>
        <w:ind w:firstLine="643"/>
      </w:pPr>
      <w:bookmarkStart w:id="160" w:name="_Toc22404"/>
      <w:bookmarkStart w:id="161" w:name="_Toc6126"/>
      <w:r>
        <w:t>1.2.1</w:t>
      </w:r>
      <w:r>
        <w:rPr>
          <w:rFonts w:hint="eastAsia"/>
        </w:rPr>
        <w:t>全国性法律、法规及规范性文件</w:t>
      </w:r>
      <w:bookmarkEnd w:id="160"/>
      <w:bookmarkEnd w:id="161"/>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）《中华人民共和国环境保护法》</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）《中华人民共和国水污染防治法》</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）《中华人民共和国水法》</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）《中华人民共和国清洁生产促进法》</w:t>
      </w:r>
      <w:r>
        <w:rPr>
          <w:rFonts w:eastAsia="仿宋_GB2312" w:cs="Times New Roman"/>
          <w:sz w:val="32"/>
          <w:szCs w:val="32"/>
        </w:rPr>
        <w:tab/>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）《中华人民共和国渔业法》</w:t>
      </w:r>
    </w:p>
    <w:p>
      <w:pPr>
        <w:adjustRightInd w:val="0"/>
        <w:snapToGrid w:val="0"/>
        <w:spacing w:line="590" w:lineRule="exact"/>
        <w:ind w:firstLine="640"/>
        <w:rPr>
          <w:rFonts w:hint="eastAsia" w:eastAsia="仿宋_GB2312" w:cs="Times New Roman"/>
          <w:sz w:val="32"/>
          <w:szCs w:val="32"/>
        </w:rPr>
      </w:pPr>
      <w:r>
        <w:rPr>
          <w:rFonts w:hint="eastAsia" w:eastAsia="仿宋_GB2312" w:cs="Times New Roman"/>
          <w:sz w:val="32"/>
          <w:szCs w:val="32"/>
        </w:rPr>
        <w:t>（</w:t>
      </w:r>
      <w:r>
        <w:rPr>
          <w:rFonts w:eastAsia="仿宋_GB2312" w:cs="Times New Roman"/>
          <w:sz w:val="32"/>
          <w:szCs w:val="32"/>
        </w:rPr>
        <w:t>6</w:t>
      </w:r>
      <w:r>
        <w:rPr>
          <w:rFonts w:hint="eastAsia" w:eastAsia="仿宋_GB2312" w:cs="Times New Roman"/>
          <w:sz w:val="32"/>
          <w:szCs w:val="32"/>
        </w:rPr>
        <w:t>）《中华人民共和国固体废物污染环境防治法》</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（7）《畜禽养殖污染防治管理办法》</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（8）</w:t>
      </w:r>
      <w:r>
        <w:rPr>
          <w:rFonts w:hint="eastAsia" w:eastAsia="仿宋_GB2312" w:cs="Times New Roman"/>
          <w:spacing w:val="2"/>
          <w:sz w:val="32"/>
          <w:szCs w:val="32"/>
        </w:rPr>
        <w:t>《中共中央国务院关于加快推进生态文明建设的指导</w:t>
      </w:r>
      <w:r>
        <w:rPr>
          <w:rFonts w:hint="eastAsia" w:eastAsia="仿宋_GB2312" w:cs="Times New Roman"/>
          <w:sz w:val="32"/>
          <w:szCs w:val="32"/>
        </w:rPr>
        <w:t>意见》</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（9）《生态文明体制改革总体方案》</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（10）《中共中央关于制定国民经济和社会发展第十三个五年规划的建议》</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（11）《水污染防治行动计划》（国发〔</w:t>
      </w:r>
      <w:r>
        <w:rPr>
          <w:rFonts w:eastAsia="仿宋_GB2312" w:cs="Times New Roman"/>
          <w:sz w:val="32"/>
          <w:szCs w:val="32"/>
        </w:rPr>
        <w:t>2015</w:t>
      </w:r>
      <w:r>
        <w:rPr>
          <w:rFonts w:hint="eastAsia" w:eastAsia="仿宋_GB2312" w:cs="Times New Roman"/>
          <w:sz w:val="32"/>
          <w:szCs w:val="32"/>
        </w:rPr>
        <w:t>〕</w:t>
      </w:r>
      <w:r>
        <w:rPr>
          <w:rFonts w:eastAsia="仿宋_GB2312" w:cs="Times New Roman"/>
          <w:sz w:val="32"/>
          <w:szCs w:val="32"/>
        </w:rPr>
        <w:t>17</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2）《国家与河北省人民政府签订的水污染防治目标责任书》</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3）《国务院关于加强环境保护重点工作的意见》（国发〔</w:t>
      </w:r>
      <w:r>
        <w:rPr>
          <w:rFonts w:eastAsia="仿宋_GB2312" w:cs="Times New Roman"/>
          <w:sz w:val="32"/>
          <w:szCs w:val="32"/>
        </w:rPr>
        <w:t>2011</w:t>
      </w:r>
      <w:r>
        <w:rPr>
          <w:rFonts w:hint="eastAsia" w:eastAsia="仿宋_GB2312" w:cs="Times New Roman"/>
          <w:sz w:val="32"/>
          <w:szCs w:val="32"/>
        </w:rPr>
        <w:t>〕</w:t>
      </w:r>
      <w:r>
        <w:rPr>
          <w:rFonts w:eastAsia="仿宋_GB2312" w:cs="Times New Roman"/>
          <w:sz w:val="32"/>
          <w:szCs w:val="32"/>
        </w:rPr>
        <w:t>35</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（14）</w:t>
      </w:r>
      <w:r>
        <w:rPr>
          <w:rFonts w:hint="eastAsia" w:eastAsia="仿宋_GB2312" w:cs="Times New Roman"/>
          <w:spacing w:val="2"/>
          <w:sz w:val="32"/>
          <w:szCs w:val="32"/>
        </w:rPr>
        <w:t>《国务院关于印发</w:t>
      </w:r>
      <w:r>
        <w:rPr>
          <w:rFonts w:eastAsia="仿宋_GB2312" w:cs="Times New Roman"/>
          <w:spacing w:val="2"/>
          <w:sz w:val="32"/>
          <w:szCs w:val="32"/>
        </w:rPr>
        <w:t>&lt;“</w:t>
      </w:r>
      <w:r>
        <w:rPr>
          <w:rFonts w:hint="eastAsia" w:eastAsia="仿宋_GB2312" w:cs="Times New Roman"/>
          <w:spacing w:val="2"/>
          <w:sz w:val="32"/>
          <w:szCs w:val="32"/>
        </w:rPr>
        <w:t>十二五</w:t>
      </w:r>
      <w:r>
        <w:rPr>
          <w:rFonts w:eastAsia="仿宋_GB2312" w:cs="Times New Roman"/>
          <w:spacing w:val="2"/>
          <w:sz w:val="32"/>
          <w:szCs w:val="32"/>
        </w:rPr>
        <w:t>”</w:t>
      </w:r>
      <w:r>
        <w:rPr>
          <w:rFonts w:hint="eastAsia" w:eastAsia="仿宋_GB2312" w:cs="Times New Roman"/>
          <w:spacing w:val="2"/>
          <w:sz w:val="32"/>
          <w:szCs w:val="32"/>
        </w:rPr>
        <w:t>节能减排综合性工作方</w:t>
      </w:r>
      <w:r>
        <w:rPr>
          <w:rFonts w:hint="eastAsia" w:eastAsia="仿宋_GB2312" w:cs="Times New Roman"/>
          <w:sz w:val="32"/>
          <w:szCs w:val="32"/>
        </w:rPr>
        <w:t>案</w:t>
      </w:r>
      <w:r>
        <w:rPr>
          <w:rFonts w:eastAsia="仿宋_GB2312" w:cs="Times New Roman"/>
          <w:sz w:val="32"/>
          <w:szCs w:val="32"/>
        </w:rPr>
        <w:t>&gt;</w:t>
      </w:r>
      <w:r>
        <w:rPr>
          <w:rFonts w:hint="eastAsia" w:eastAsia="仿宋_GB2312" w:cs="Times New Roman"/>
          <w:sz w:val="32"/>
          <w:szCs w:val="32"/>
        </w:rPr>
        <w:t>的通知》（国发〔</w:t>
      </w:r>
      <w:r>
        <w:rPr>
          <w:rFonts w:eastAsia="仿宋_GB2312" w:cs="Times New Roman"/>
          <w:sz w:val="32"/>
          <w:szCs w:val="32"/>
        </w:rPr>
        <w:t>2011</w:t>
      </w:r>
      <w:r>
        <w:rPr>
          <w:rFonts w:hint="eastAsia" w:eastAsia="仿宋_GB2312" w:cs="Times New Roman"/>
          <w:sz w:val="32"/>
          <w:szCs w:val="32"/>
        </w:rPr>
        <w:t>〕</w:t>
      </w:r>
      <w:r>
        <w:rPr>
          <w:rFonts w:eastAsia="仿宋_GB2312" w:cs="Times New Roman"/>
          <w:sz w:val="32"/>
          <w:szCs w:val="32"/>
        </w:rPr>
        <w:t>26</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5）《中共中央国务院关于加快水利改革发展的决定》（中发〔</w:t>
      </w:r>
      <w:r>
        <w:rPr>
          <w:rFonts w:eastAsia="仿宋_GB2312" w:cs="Times New Roman"/>
          <w:sz w:val="32"/>
          <w:szCs w:val="32"/>
        </w:rPr>
        <w:t>2011</w:t>
      </w: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6）《国务院关于实行最严格水资源管理制度的意见》（国发〔</w:t>
      </w:r>
      <w:r>
        <w:rPr>
          <w:rFonts w:eastAsia="仿宋_GB2312" w:cs="Times New Roman"/>
          <w:sz w:val="32"/>
          <w:szCs w:val="32"/>
        </w:rPr>
        <w:t>2012</w:t>
      </w: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7）《国务院关于落实科学发展观加强环境保护的决定》</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8）《中共中央国务院关于全面加强生态环境保护坚决打好污染防治攻坚战的意见》</w:t>
      </w:r>
    </w:p>
    <w:p>
      <w:pPr>
        <w:adjustRightInd w:val="0"/>
        <w:snapToGrid w:val="0"/>
        <w:spacing w:line="590" w:lineRule="exact"/>
        <w:ind w:firstLine="640"/>
        <w:rPr>
          <w:rFonts w:hint="eastAsia"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9）</w:t>
      </w:r>
      <w:r>
        <w:rPr>
          <w:rFonts w:hint="eastAsia" w:eastAsia="仿宋_GB2312" w:cs="Times New Roman"/>
          <w:spacing w:val="2"/>
          <w:sz w:val="32"/>
          <w:szCs w:val="32"/>
        </w:rPr>
        <w:t>《生态环境部农业农村部关于印发</w:t>
      </w:r>
      <w:r>
        <w:rPr>
          <w:rFonts w:eastAsia="仿宋_GB2312" w:cs="Times New Roman"/>
          <w:spacing w:val="2"/>
          <w:sz w:val="32"/>
          <w:szCs w:val="32"/>
        </w:rPr>
        <w:t>&lt;</w:t>
      </w:r>
      <w:r>
        <w:rPr>
          <w:rFonts w:hint="eastAsia" w:eastAsia="仿宋_GB2312" w:cs="Times New Roman"/>
          <w:spacing w:val="2"/>
          <w:sz w:val="32"/>
          <w:szCs w:val="32"/>
        </w:rPr>
        <w:t>农业农村污染治</w:t>
      </w:r>
      <w:r>
        <w:rPr>
          <w:rFonts w:hint="eastAsia" w:eastAsia="仿宋_GB2312" w:cs="Times New Roman"/>
          <w:sz w:val="32"/>
          <w:szCs w:val="32"/>
        </w:rPr>
        <w:t>理攻坚战行动计划</w:t>
      </w:r>
      <w:r>
        <w:rPr>
          <w:rFonts w:eastAsia="仿宋_GB2312" w:cs="Times New Roman"/>
          <w:sz w:val="32"/>
          <w:szCs w:val="32"/>
        </w:rPr>
        <w:t>&gt;</w:t>
      </w:r>
      <w:r>
        <w:rPr>
          <w:rFonts w:hint="eastAsia" w:eastAsia="仿宋_GB2312" w:cs="Times New Roman"/>
          <w:sz w:val="32"/>
          <w:szCs w:val="32"/>
        </w:rPr>
        <w:t>的通知》（环土壤〔</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143</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20</w:t>
      </w:r>
      <w:r>
        <w:rPr>
          <w:rFonts w:hint="eastAsia" w:eastAsia="仿宋_GB2312" w:cs="Times New Roman"/>
          <w:sz w:val="32"/>
          <w:szCs w:val="32"/>
        </w:rPr>
        <w:t>）《城市黑臭水体治理攻坚战作战方案》</w:t>
      </w:r>
    </w:p>
    <w:p>
      <w:pPr>
        <w:pStyle w:val="4"/>
        <w:adjustRightInd w:val="0"/>
        <w:snapToGrid w:val="0"/>
        <w:spacing w:line="590" w:lineRule="exact"/>
        <w:ind w:firstLine="643"/>
      </w:pPr>
      <w:bookmarkStart w:id="162" w:name="_Toc445052282"/>
      <w:bookmarkStart w:id="163" w:name="_Toc29111"/>
      <w:bookmarkStart w:id="164" w:name="_Toc30378"/>
      <w:bookmarkStart w:id="165" w:name="_Toc446527266"/>
      <w:r>
        <w:t>1.2.2</w:t>
      </w:r>
      <w:r>
        <w:rPr>
          <w:rFonts w:hint="eastAsia"/>
        </w:rPr>
        <w:t>引用标准</w:t>
      </w:r>
      <w:bookmarkEnd w:id="162"/>
      <w:bookmarkEnd w:id="163"/>
      <w:bookmarkEnd w:id="164"/>
      <w:bookmarkEnd w:id="165"/>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）《地表水环境质量标准》（</w:t>
      </w:r>
      <w:r>
        <w:rPr>
          <w:rFonts w:eastAsia="仿宋_GB2312" w:cs="Times New Roman"/>
          <w:sz w:val="32"/>
          <w:szCs w:val="32"/>
        </w:rPr>
        <w:t>GB3838</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）《农田灌溉水质标准》（</w:t>
      </w:r>
      <w:r>
        <w:rPr>
          <w:rFonts w:eastAsia="仿宋_GB2312" w:cs="Times New Roman"/>
          <w:sz w:val="32"/>
          <w:szCs w:val="32"/>
        </w:rPr>
        <w:t>GB5048</w:t>
      </w:r>
      <w:r>
        <w:rPr>
          <w:rFonts w:hint="eastAsia" w:eastAsia="仿宋_GB2312" w:cs="Times New Roman"/>
          <w:sz w:val="32"/>
          <w:szCs w:val="32"/>
        </w:rPr>
        <w:t>—</w:t>
      </w:r>
      <w:r>
        <w:rPr>
          <w:rFonts w:eastAsia="仿宋_GB2312" w:cs="Times New Roman"/>
          <w:sz w:val="32"/>
          <w:szCs w:val="32"/>
        </w:rPr>
        <w:t>2005</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）《生活饮用水卫生标准》（</w:t>
      </w:r>
      <w:r>
        <w:rPr>
          <w:rFonts w:eastAsia="仿宋_GB2312" w:cs="Times New Roman"/>
          <w:sz w:val="32"/>
          <w:szCs w:val="32"/>
        </w:rPr>
        <w:t>GB5749</w:t>
      </w:r>
      <w:r>
        <w:rPr>
          <w:rFonts w:hint="eastAsia" w:eastAsia="仿宋_GB2312" w:cs="Times New Roman"/>
          <w:sz w:val="32"/>
          <w:szCs w:val="32"/>
        </w:rPr>
        <w:t>—</w:t>
      </w:r>
      <w:r>
        <w:rPr>
          <w:rFonts w:eastAsia="仿宋_GB2312" w:cs="Times New Roman"/>
          <w:sz w:val="32"/>
          <w:szCs w:val="32"/>
        </w:rPr>
        <w:t>2006</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）《土壤环境质量标准》（</w:t>
      </w:r>
      <w:r>
        <w:rPr>
          <w:rFonts w:eastAsia="仿宋_GB2312" w:cs="Times New Roman"/>
          <w:sz w:val="32"/>
          <w:szCs w:val="32"/>
        </w:rPr>
        <w:t>GB15618</w:t>
      </w:r>
      <w:r>
        <w:rPr>
          <w:rFonts w:hint="eastAsia" w:eastAsia="仿宋_GB2312" w:cs="Times New Roman"/>
          <w:sz w:val="32"/>
          <w:szCs w:val="32"/>
        </w:rPr>
        <w:t>—</w:t>
      </w:r>
      <w:r>
        <w:rPr>
          <w:rFonts w:eastAsia="仿宋_GB2312" w:cs="Times New Roman"/>
          <w:sz w:val="32"/>
          <w:szCs w:val="32"/>
        </w:rPr>
        <w:t>1995</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）《城镇污水处理厂污染物排放标准》（</w:t>
      </w:r>
      <w:r>
        <w:rPr>
          <w:rFonts w:eastAsia="仿宋_GB2312" w:cs="Times New Roman"/>
          <w:sz w:val="32"/>
          <w:szCs w:val="32"/>
        </w:rPr>
        <w:t>GB18918</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6</w:t>
      </w:r>
      <w:r>
        <w:rPr>
          <w:rFonts w:hint="eastAsia" w:eastAsia="仿宋_GB2312" w:cs="Times New Roman"/>
          <w:sz w:val="32"/>
          <w:szCs w:val="32"/>
        </w:rPr>
        <w:t>）《畜禽养殖业污染物排放标准》（</w:t>
      </w:r>
      <w:r>
        <w:rPr>
          <w:rFonts w:eastAsia="仿宋_GB2312" w:cs="Times New Roman"/>
          <w:sz w:val="32"/>
          <w:szCs w:val="32"/>
        </w:rPr>
        <w:t>GB18596</w:t>
      </w:r>
      <w:r>
        <w:rPr>
          <w:rFonts w:hint="eastAsia" w:eastAsia="仿宋_GB2312" w:cs="Times New Roman"/>
          <w:sz w:val="32"/>
          <w:szCs w:val="32"/>
        </w:rPr>
        <w:t>—</w:t>
      </w:r>
      <w:r>
        <w:rPr>
          <w:rFonts w:eastAsia="仿宋_GB2312" w:cs="Times New Roman"/>
          <w:sz w:val="32"/>
          <w:szCs w:val="32"/>
        </w:rPr>
        <w:t>2001</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7</w:t>
      </w:r>
      <w:r>
        <w:rPr>
          <w:rFonts w:hint="eastAsia" w:eastAsia="仿宋_GB2312" w:cs="Times New Roman"/>
          <w:sz w:val="32"/>
          <w:szCs w:val="32"/>
        </w:rPr>
        <w:t>）《农用污泥污染物控制标准》（</w:t>
      </w:r>
      <w:r>
        <w:rPr>
          <w:rFonts w:eastAsia="仿宋_GB2312" w:cs="Times New Roman"/>
          <w:sz w:val="32"/>
          <w:szCs w:val="32"/>
        </w:rPr>
        <w:t>GB4284</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）《工业企业设计卫生标准》（</w:t>
      </w:r>
      <w:r>
        <w:rPr>
          <w:rFonts w:eastAsia="仿宋_GB2312" w:cs="Times New Roman"/>
          <w:sz w:val="32"/>
          <w:szCs w:val="32"/>
        </w:rPr>
        <w:t>GBZ1</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9</w:t>
      </w:r>
      <w:r>
        <w:rPr>
          <w:rFonts w:hint="eastAsia" w:eastAsia="仿宋_GB2312" w:cs="Times New Roman"/>
          <w:sz w:val="32"/>
          <w:szCs w:val="32"/>
        </w:rPr>
        <w:t>）《水污染防治工作方案编制技术指南》（环办函〔</w:t>
      </w:r>
      <w:r>
        <w:rPr>
          <w:rFonts w:eastAsia="仿宋_GB2312" w:cs="Times New Roman"/>
          <w:sz w:val="32"/>
          <w:szCs w:val="32"/>
        </w:rPr>
        <w:t>2015</w:t>
      </w:r>
      <w:r>
        <w:rPr>
          <w:rFonts w:hint="eastAsia" w:eastAsia="仿宋_GB2312" w:cs="Times New Roman"/>
          <w:sz w:val="32"/>
          <w:szCs w:val="32"/>
        </w:rPr>
        <w:t>〕</w:t>
      </w:r>
      <w:r>
        <w:rPr>
          <w:rFonts w:eastAsia="仿宋_GB2312" w:cs="Times New Roman"/>
          <w:sz w:val="32"/>
          <w:szCs w:val="32"/>
        </w:rPr>
        <w:t>1232</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10</w:t>
      </w:r>
      <w:r>
        <w:rPr>
          <w:rFonts w:hint="eastAsia" w:eastAsia="仿宋_GB2312" w:cs="Times New Roman"/>
          <w:sz w:val="32"/>
          <w:szCs w:val="32"/>
        </w:rPr>
        <w:t>）《水体达标方案编制技术指南》（环办函〔</w:t>
      </w:r>
      <w:r>
        <w:rPr>
          <w:rFonts w:eastAsia="仿宋_GB2312" w:cs="Times New Roman"/>
          <w:sz w:val="32"/>
          <w:szCs w:val="32"/>
        </w:rPr>
        <w:t>2015</w:t>
      </w:r>
      <w:r>
        <w:rPr>
          <w:rFonts w:hint="eastAsia" w:eastAsia="仿宋_GB2312" w:cs="Times New Roman"/>
          <w:sz w:val="32"/>
          <w:szCs w:val="32"/>
        </w:rPr>
        <w:t>〕</w:t>
      </w:r>
      <w:r>
        <w:rPr>
          <w:rFonts w:eastAsia="仿宋_GB2312" w:cs="Times New Roman"/>
          <w:sz w:val="32"/>
          <w:szCs w:val="32"/>
        </w:rPr>
        <w:t>1711</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11</w:t>
      </w:r>
      <w:r>
        <w:rPr>
          <w:rFonts w:hint="eastAsia" w:eastAsia="仿宋_GB2312" w:cs="Times New Roman"/>
          <w:sz w:val="32"/>
          <w:szCs w:val="32"/>
        </w:rPr>
        <w:t>）《江河湖泊生态环境保护系列技术指南》（环办〔</w:t>
      </w:r>
      <w:r>
        <w:rPr>
          <w:rFonts w:eastAsia="仿宋_GB2312" w:cs="Times New Roman"/>
          <w:sz w:val="32"/>
          <w:szCs w:val="32"/>
        </w:rPr>
        <w:t>2014</w:t>
      </w:r>
      <w:r>
        <w:rPr>
          <w:rFonts w:hint="eastAsia" w:eastAsia="仿宋_GB2312" w:cs="Times New Roman"/>
          <w:sz w:val="32"/>
          <w:szCs w:val="32"/>
        </w:rPr>
        <w:t>〕</w:t>
      </w:r>
      <w:r>
        <w:rPr>
          <w:rFonts w:eastAsia="仿宋_GB2312" w:cs="Times New Roman"/>
          <w:sz w:val="32"/>
          <w:szCs w:val="32"/>
        </w:rPr>
        <w:t>111</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12</w:t>
      </w:r>
      <w:r>
        <w:rPr>
          <w:rFonts w:hint="eastAsia" w:eastAsia="仿宋_GB2312" w:cs="Times New Roman"/>
          <w:sz w:val="32"/>
          <w:szCs w:val="32"/>
        </w:rPr>
        <w:t>）《河北省农村生活污水排放标准》（</w:t>
      </w:r>
      <w:r>
        <w:rPr>
          <w:rFonts w:eastAsia="仿宋_GB2312" w:cs="Times New Roman"/>
          <w:sz w:val="32"/>
          <w:szCs w:val="32"/>
        </w:rPr>
        <w:t>DB13/2171</w:t>
      </w:r>
      <w:r>
        <w:rPr>
          <w:rFonts w:hint="eastAsia" w:eastAsia="仿宋_GB2312" w:cs="Times New Roman"/>
          <w:sz w:val="32"/>
          <w:szCs w:val="32"/>
        </w:rPr>
        <w:t>—</w:t>
      </w:r>
      <w:r>
        <w:rPr>
          <w:rFonts w:eastAsia="仿宋_GB2312" w:cs="Times New Roman"/>
          <w:sz w:val="32"/>
          <w:szCs w:val="32"/>
        </w:rPr>
        <w:t>2015</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13</w:t>
      </w:r>
      <w:r>
        <w:rPr>
          <w:rFonts w:hint="eastAsia" w:eastAsia="仿宋_GB2312" w:cs="Times New Roman"/>
          <w:sz w:val="32"/>
          <w:szCs w:val="32"/>
        </w:rPr>
        <w:t>）《大清河流域水污染物排放标准》（</w:t>
      </w:r>
      <w:r>
        <w:rPr>
          <w:rFonts w:eastAsia="仿宋_GB2312" w:cs="Times New Roman"/>
          <w:sz w:val="32"/>
          <w:szCs w:val="32"/>
        </w:rPr>
        <w:t>DB13/2795</w:t>
      </w:r>
      <w:r>
        <w:rPr>
          <w:rFonts w:hint="eastAsia" w:eastAsia="仿宋_GB2312" w:cs="Times New Roman"/>
          <w:sz w:val="32"/>
          <w:szCs w:val="32"/>
        </w:rPr>
        <w:t>—</w:t>
      </w:r>
      <w:r>
        <w:rPr>
          <w:rFonts w:eastAsia="仿宋_GB2312" w:cs="Times New Roman"/>
          <w:sz w:val="32"/>
          <w:szCs w:val="32"/>
        </w:rPr>
        <w:t>2018</w:t>
      </w:r>
      <w:r>
        <w:rPr>
          <w:rFonts w:hint="eastAsia" w:eastAsia="仿宋_GB2312" w:cs="Times New Roman"/>
          <w:sz w:val="32"/>
          <w:szCs w:val="32"/>
        </w:rPr>
        <w:t>）</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14</w:t>
      </w:r>
      <w:r>
        <w:rPr>
          <w:rFonts w:hint="eastAsia" w:eastAsia="仿宋_GB2312" w:cs="Times New Roman"/>
          <w:sz w:val="32"/>
          <w:szCs w:val="32"/>
        </w:rPr>
        <w:t>）《河北省农村生活污水处理和垃圾处理实用技术指南》</w:t>
      </w:r>
    </w:p>
    <w:p>
      <w:pPr>
        <w:pStyle w:val="4"/>
        <w:adjustRightInd w:val="0"/>
        <w:snapToGrid w:val="0"/>
        <w:spacing w:line="590" w:lineRule="exact"/>
        <w:ind w:firstLine="643"/>
      </w:pPr>
      <w:bookmarkStart w:id="166" w:name="_Toc16971"/>
      <w:bookmarkStart w:id="167" w:name="_Toc6750"/>
      <w:r>
        <w:t>1.2.3</w:t>
      </w:r>
      <w:r>
        <w:rPr>
          <w:rFonts w:hint="eastAsia"/>
        </w:rPr>
        <w:t>相关规划</w:t>
      </w:r>
      <w:bookmarkEnd w:id="166"/>
      <w:r>
        <w:rPr>
          <w:rFonts w:hint="eastAsia"/>
        </w:rPr>
        <w:t>及方案</w:t>
      </w:r>
      <w:bookmarkEnd w:id="167"/>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）《河北省人民政府关于印发</w:t>
      </w:r>
      <w:r>
        <w:rPr>
          <w:rFonts w:eastAsia="仿宋_GB2312" w:cs="Times New Roman"/>
          <w:sz w:val="32"/>
          <w:szCs w:val="32"/>
        </w:rPr>
        <w:t>&lt;</w:t>
      </w:r>
      <w:r>
        <w:rPr>
          <w:rFonts w:hint="eastAsia" w:eastAsia="仿宋_GB2312" w:cs="Times New Roman"/>
          <w:sz w:val="32"/>
          <w:szCs w:val="32"/>
        </w:rPr>
        <w:t>河北省水污染防治工作方案</w:t>
      </w:r>
      <w:r>
        <w:rPr>
          <w:rFonts w:eastAsia="仿宋_GB2312" w:cs="Times New Roman"/>
          <w:sz w:val="32"/>
          <w:szCs w:val="32"/>
        </w:rPr>
        <w:t>&gt;</w:t>
      </w:r>
      <w:r>
        <w:rPr>
          <w:rFonts w:hint="eastAsia" w:eastAsia="仿宋_GB2312" w:cs="Times New Roman"/>
          <w:sz w:val="32"/>
          <w:szCs w:val="32"/>
        </w:rPr>
        <w:t>的通知》（冀发〔</w:t>
      </w:r>
      <w:r>
        <w:rPr>
          <w:rFonts w:eastAsia="仿宋_GB2312" w:cs="Times New Roman"/>
          <w:sz w:val="32"/>
          <w:szCs w:val="32"/>
        </w:rPr>
        <w:t>2015</w:t>
      </w:r>
      <w:r>
        <w:rPr>
          <w:rFonts w:hint="eastAsia" w:eastAsia="仿宋_GB2312" w:cs="Times New Roman"/>
          <w:sz w:val="32"/>
          <w:szCs w:val="32"/>
        </w:rPr>
        <w:t>〕</w:t>
      </w:r>
      <w:r>
        <w:rPr>
          <w:rFonts w:eastAsia="仿宋_GB2312" w:cs="Times New Roman"/>
          <w:sz w:val="32"/>
          <w:szCs w:val="32"/>
        </w:rPr>
        <w:t>28</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w:t>
      </w:r>
      <w:r>
        <w:rPr>
          <w:rFonts w:hint="eastAsia" w:eastAsia="仿宋_GB2312" w:cs="Times New Roman"/>
          <w:spacing w:val="2"/>
          <w:sz w:val="32"/>
          <w:szCs w:val="32"/>
        </w:rPr>
        <w:t>《河北省人民政府关于印发</w:t>
      </w:r>
      <w:r>
        <w:rPr>
          <w:rFonts w:eastAsia="仿宋_GB2312" w:cs="Times New Roman"/>
          <w:spacing w:val="2"/>
          <w:sz w:val="32"/>
          <w:szCs w:val="32"/>
        </w:rPr>
        <w:t>&lt;</w:t>
      </w:r>
      <w:r>
        <w:rPr>
          <w:rFonts w:hint="eastAsia" w:eastAsia="仿宋_GB2312" w:cs="Times New Roman"/>
          <w:spacing w:val="2"/>
          <w:sz w:val="32"/>
          <w:szCs w:val="32"/>
        </w:rPr>
        <w:t>河北省生态环境保护</w:t>
      </w:r>
      <w:r>
        <w:rPr>
          <w:rFonts w:eastAsia="仿宋_GB2312" w:cs="Times New Roman"/>
          <w:spacing w:val="2"/>
          <w:sz w:val="32"/>
          <w:szCs w:val="32"/>
        </w:rPr>
        <w:t>“</w:t>
      </w:r>
      <w:r>
        <w:rPr>
          <w:rFonts w:hint="eastAsia" w:eastAsia="仿宋_GB2312" w:cs="Times New Roman"/>
          <w:spacing w:val="2"/>
          <w:sz w:val="32"/>
          <w:szCs w:val="32"/>
        </w:rPr>
        <w:t>十</w:t>
      </w:r>
      <w:r>
        <w:rPr>
          <w:rFonts w:hint="eastAsia" w:eastAsia="仿宋_GB2312" w:cs="Times New Roman"/>
          <w:sz w:val="32"/>
          <w:szCs w:val="32"/>
        </w:rPr>
        <w:t>三五</w:t>
      </w:r>
      <w:r>
        <w:rPr>
          <w:rFonts w:eastAsia="仿宋_GB2312" w:cs="Times New Roman"/>
          <w:sz w:val="32"/>
          <w:szCs w:val="32"/>
        </w:rPr>
        <w:t>”</w:t>
      </w:r>
      <w:r>
        <w:rPr>
          <w:rFonts w:hint="eastAsia" w:eastAsia="仿宋_GB2312" w:cs="Times New Roman"/>
          <w:sz w:val="32"/>
          <w:szCs w:val="32"/>
        </w:rPr>
        <w:t>规划</w:t>
      </w:r>
      <w:r>
        <w:rPr>
          <w:rFonts w:eastAsia="仿宋_GB2312" w:cs="Times New Roman"/>
          <w:sz w:val="32"/>
          <w:szCs w:val="32"/>
        </w:rPr>
        <w:t>&gt;</w:t>
      </w:r>
      <w:r>
        <w:rPr>
          <w:rFonts w:hint="eastAsia" w:eastAsia="仿宋_GB2312" w:cs="Times New Roman"/>
          <w:sz w:val="32"/>
          <w:szCs w:val="32"/>
        </w:rPr>
        <w:t>的通知》（冀政字〔</w:t>
      </w:r>
      <w:r>
        <w:rPr>
          <w:rFonts w:eastAsia="仿宋_GB2312" w:cs="Times New Roman"/>
          <w:sz w:val="32"/>
          <w:szCs w:val="32"/>
        </w:rPr>
        <w:t>2017</w:t>
      </w:r>
      <w:r>
        <w:rPr>
          <w:rFonts w:hint="eastAsia" w:eastAsia="仿宋_GB2312" w:cs="Times New Roman"/>
          <w:sz w:val="32"/>
          <w:szCs w:val="32"/>
        </w:rPr>
        <w:t>〕</w:t>
      </w:r>
      <w:r>
        <w:rPr>
          <w:rFonts w:eastAsia="仿宋_GB2312" w:cs="Times New Roman"/>
          <w:sz w:val="32"/>
          <w:szCs w:val="32"/>
        </w:rPr>
        <w:t>10</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w:t>
      </w:r>
      <w:r>
        <w:rPr>
          <w:rFonts w:hint="eastAsia" w:eastAsia="仿宋_GB2312" w:cs="Times New Roman"/>
          <w:spacing w:val="2"/>
          <w:sz w:val="32"/>
          <w:szCs w:val="32"/>
        </w:rPr>
        <w:t>《中共河北省委河北省人民政府关于全面加强生态环</w:t>
      </w:r>
      <w:r>
        <w:rPr>
          <w:rFonts w:hint="eastAsia" w:eastAsia="仿宋_GB2312" w:cs="Times New Roman"/>
          <w:sz w:val="32"/>
          <w:szCs w:val="32"/>
        </w:rPr>
        <w:t>境保护坚决打好污染防治攻坚战的实施意见》</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）《河北省水污染防治工作领导小组办公室关于印发</w:t>
      </w:r>
      <w:r>
        <w:rPr>
          <w:rFonts w:eastAsia="仿宋_GB2312" w:cs="Times New Roman"/>
          <w:sz w:val="32"/>
          <w:szCs w:val="32"/>
        </w:rPr>
        <w:t>&lt;</w:t>
      </w:r>
      <w:r>
        <w:rPr>
          <w:rFonts w:hint="eastAsia" w:eastAsia="仿宋_GB2312" w:cs="Times New Roman"/>
          <w:sz w:val="32"/>
          <w:szCs w:val="32"/>
        </w:rPr>
        <w:t>河北省碧水保卫战三年行动计划（</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2020</w:t>
      </w:r>
      <w:r>
        <w:rPr>
          <w:rFonts w:hint="eastAsia" w:eastAsia="仿宋_GB2312" w:cs="Times New Roman"/>
          <w:sz w:val="32"/>
          <w:szCs w:val="32"/>
        </w:rPr>
        <w:t>年）</w:t>
      </w:r>
      <w:r>
        <w:rPr>
          <w:rFonts w:eastAsia="仿宋_GB2312" w:cs="Times New Roman"/>
          <w:sz w:val="32"/>
          <w:szCs w:val="32"/>
        </w:rPr>
        <w:t>&gt;</w:t>
      </w:r>
      <w:r>
        <w:rPr>
          <w:rFonts w:hint="eastAsia" w:eastAsia="仿宋_GB2312" w:cs="Times New Roman"/>
          <w:sz w:val="32"/>
          <w:szCs w:val="32"/>
        </w:rPr>
        <w:t>的通知》（冀水领办〔</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123</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w:t>
      </w:r>
      <w:r>
        <w:rPr>
          <w:rFonts w:hint="eastAsia" w:eastAsia="仿宋_GB2312" w:cs="Times New Roman"/>
          <w:spacing w:val="2"/>
          <w:sz w:val="32"/>
          <w:szCs w:val="32"/>
        </w:rPr>
        <w:t>《河北省环境保护厅关于加快推进全省农村生活污水</w:t>
      </w:r>
      <w:r>
        <w:rPr>
          <w:rFonts w:hint="eastAsia" w:eastAsia="仿宋_GB2312" w:cs="Times New Roman"/>
          <w:sz w:val="32"/>
          <w:szCs w:val="32"/>
        </w:rPr>
        <w:t>治理工作的通知》（冀环水〔</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301</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6</w:t>
      </w:r>
      <w:r>
        <w:rPr>
          <w:rFonts w:hint="eastAsia" w:eastAsia="仿宋_GB2312" w:cs="Times New Roman"/>
          <w:sz w:val="32"/>
          <w:szCs w:val="32"/>
        </w:rPr>
        <w:t>）《河北省农村人居环境整治三年行动实施方案（</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2020</w:t>
      </w:r>
      <w:r>
        <w:rPr>
          <w:rFonts w:hint="eastAsia" w:eastAsia="仿宋_GB2312" w:cs="Times New Roman"/>
          <w:sz w:val="32"/>
          <w:szCs w:val="32"/>
        </w:rPr>
        <w:t>年）》（冀办发〔</w:t>
      </w:r>
      <w:r>
        <w:rPr>
          <w:rFonts w:eastAsia="仿宋_GB2312" w:cs="Times New Roman"/>
          <w:sz w:val="32"/>
          <w:szCs w:val="32"/>
        </w:rPr>
        <w:t>2018</w:t>
      </w: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7</w:t>
      </w:r>
      <w:r>
        <w:rPr>
          <w:rFonts w:hint="eastAsia" w:eastAsia="仿宋_GB2312" w:cs="Times New Roman"/>
          <w:sz w:val="32"/>
          <w:szCs w:val="32"/>
        </w:rPr>
        <w:t>）《河北省水污染防治工作领导小组办公室关于印发</w:t>
      </w:r>
      <w:r>
        <w:rPr>
          <w:rFonts w:eastAsia="仿宋_GB2312" w:cs="Times New Roman"/>
          <w:sz w:val="32"/>
          <w:szCs w:val="32"/>
        </w:rPr>
        <w:t>&lt;</w:t>
      </w:r>
      <w:r>
        <w:rPr>
          <w:rFonts w:hint="eastAsia" w:eastAsia="仿宋_GB2312" w:cs="Times New Roman"/>
          <w:sz w:val="32"/>
          <w:szCs w:val="32"/>
        </w:rPr>
        <w:t>河北省农村生活污水治理行动计划</w:t>
      </w:r>
      <w:r>
        <w:rPr>
          <w:rFonts w:eastAsia="仿宋_GB2312" w:cs="Times New Roman"/>
          <w:sz w:val="32"/>
          <w:szCs w:val="32"/>
        </w:rPr>
        <w:t>&gt;</w:t>
      </w:r>
      <w:r>
        <w:rPr>
          <w:rFonts w:hint="eastAsia" w:eastAsia="仿宋_GB2312" w:cs="Times New Roman"/>
          <w:sz w:val="32"/>
          <w:szCs w:val="32"/>
        </w:rPr>
        <w:t>的通知》</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）《河北省生态环境厅河北省农业农村厅关于印发</w:t>
      </w:r>
      <w:r>
        <w:rPr>
          <w:rFonts w:eastAsia="仿宋_GB2312" w:cs="Times New Roman"/>
          <w:sz w:val="32"/>
          <w:szCs w:val="32"/>
        </w:rPr>
        <w:t>&lt;</w:t>
      </w:r>
      <w:r>
        <w:rPr>
          <w:rFonts w:hint="eastAsia" w:eastAsia="仿宋_GB2312" w:cs="Times New Roman"/>
          <w:sz w:val="32"/>
          <w:szCs w:val="32"/>
        </w:rPr>
        <w:t>河北省农业农村污染治理攻坚战实施方案</w:t>
      </w:r>
      <w:r>
        <w:rPr>
          <w:rFonts w:eastAsia="仿宋_GB2312" w:cs="Times New Roman"/>
          <w:sz w:val="32"/>
          <w:szCs w:val="32"/>
        </w:rPr>
        <w:t>&gt;</w:t>
      </w:r>
      <w:r>
        <w:rPr>
          <w:rFonts w:hint="eastAsia" w:eastAsia="仿宋_GB2312" w:cs="Times New Roman"/>
          <w:sz w:val="32"/>
          <w:szCs w:val="32"/>
        </w:rPr>
        <w:t>的通知》</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9</w:t>
      </w:r>
      <w:r>
        <w:rPr>
          <w:rFonts w:hint="eastAsia" w:eastAsia="仿宋_GB2312" w:cs="Times New Roman"/>
          <w:sz w:val="32"/>
          <w:szCs w:val="32"/>
        </w:rPr>
        <w:t>）《廊坊市人民政府办公室关于印发</w:t>
      </w:r>
      <w:r>
        <w:rPr>
          <w:rFonts w:eastAsia="仿宋_GB2312" w:cs="Times New Roman"/>
          <w:sz w:val="32"/>
          <w:szCs w:val="32"/>
        </w:rPr>
        <w:t>&lt;</w:t>
      </w:r>
      <w:r>
        <w:rPr>
          <w:rFonts w:hint="eastAsia" w:eastAsia="仿宋_GB2312" w:cs="Times New Roman"/>
          <w:sz w:val="32"/>
          <w:szCs w:val="32"/>
        </w:rPr>
        <w:t>廊坊市重点河流水质达标方案</w:t>
      </w:r>
      <w:r>
        <w:rPr>
          <w:rFonts w:eastAsia="仿宋_GB2312" w:cs="Times New Roman"/>
          <w:sz w:val="32"/>
          <w:szCs w:val="32"/>
        </w:rPr>
        <w:t>&gt;</w:t>
      </w:r>
      <w:r>
        <w:rPr>
          <w:rFonts w:hint="eastAsia" w:eastAsia="仿宋_GB2312" w:cs="Times New Roman"/>
          <w:sz w:val="32"/>
          <w:szCs w:val="32"/>
        </w:rPr>
        <w:t>的通知》（廊政办〔</w:t>
      </w:r>
      <w:r>
        <w:rPr>
          <w:rFonts w:eastAsia="仿宋_GB2312" w:cs="Times New Roman"/>
          <w:sz w:val="32"/>
          <w:szCs w:val="32"/>
        </w:rPr>
        <w:t>2016</w:t>
      </w:r>
      <w:r>
        <w:rPr>
          <w:rFonts w:hint="eastAsia" w:eastAsia="仿宋_GB2312" w:cs="Times New Roman"/>
          <w:sz w:val="32"/>
          <w:szCs w:val="32"/>
        </w:rPr>
        <w:t>〕</w:t>
      </w:r>
      <w:r>
        <w:rPr>
          <w:rFonts w:eastAsia="仿宋_GB2312" w:cs="Times New Roman"/>
          <w:sz w:val="32"/>
          <w:szCs w:val="32"/>
        </w:rPr>
        <w:t>76</w:t>
      </w:r>
      <w:r>
        <w:rPr>
          <w:rFonts w:hint="eastAsia" w:eastAsia="仿宋_GB2312" w:cs="Times New Roman"/>
          <w:sz w:val="32"/>
          <w:szCs w:val="32"/>
        </w:rPr>
        <w:t>号）</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10</w:t>
      </w:r>
      <w:r>
        <w:rPr>
          <w:rFonts w:hint="eastAsia" w:eastAsia="仿宋_GB2312" w:cs="Times New Roman"/>
          <w:sz w:val="32"/>
          <w:szCs w:val="32"/>
        </w:rPr>
        <w:t>）《廊坊市水污染防治工作实施方案》</w:t>
      </w:r>
    </w:p>
    <w:p>
      <w:pPr>
        <w:adjustRightInd w:val="0"/>
        <w:snapToGrid w:val="0"/>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11</w:t>
      </w:r>
      <w:r>
        <w:rPr>
          <w:rFonts w:hint="eastAsia" w:eastAsia="仿宋_GB2312" w:cs="Times New Roman"/>
          <w:sz w:val="32"/>
          <w:szCs w:val="32"/>
        </w:rPr>
        <w:t>）《文安县水系连通专项规划》</w:t>
      </w:r>
    </w:p>
    <w:p>
      <w:pPr>
        <w:pStyle w:val="3"/>
        <w:adjustRightInd w:val="0"/>
        <w:snapToGrid w:val="0"/>
        <w:spacing w:line="590" w:lineRule="exact"/>
        <w:ind w:firstLine="643"/>
        <w:rPr>
          <w:rFonts w:eastAsia="楷体_GB2312"/>
        </w:rPr>
      </w:pPr>
      <w:bookmarkStart w:id="168" w:name="_Toc16346"/>
      <w:bookmarkStart w:id="169" w:name="_Toc20152755"/>
      <w:r>
        <w:rPr>
          <w:rFonts w:eastAsia="楷体_GB2312"/>
        </w:rPr>
        <w:t>1.3</w:t>
      </w:r>
      <w:r>
        <w:rPr>
          <w:rFonts w:hint="eastAsia" w:eastAsia="楷体_GB2312"/>
        </w:rPr>
        <w:t>指导思想</w:t>
      </w:r>
      <w:bookmarkEnd w:id="168"/>
      <w:bookmarkEnd w:id="169"/>
    </w:p>
    <w:p>
      <w:pPr>
        <w:pStyle w:val="12"/>
        <w:autoSpaceDN w:val="0"/>
        <w:adjustRightInd w:val="0"/>
        <w:snapToGrid w:val="0"/>
        <w:spacing w:line="590" w:lineRule="exact"/>
        <w:ind w:firstLine="640"/>
        <w:rPr>
          <w:rFonts w:ascii="Times New Roman" w:hAnsi="Times New Roman"/>
          <w:szCs w:val="32"/>
        </w:rPr>
      </w:pPr>
      <w:r>
        <w:rPr>
          <w:rFonts w:hint="eastAsia" w:ascii="Times New Roman" w:hAnsi="Times New Roman" w:eastAsia="仿宋_GB2312"/>
          <w:sz w:val="32"/>
          <w:szCs w:val="32"/>
        </w:rPr>
        <w:t>以习近平新时代中国特色社会主义思想为指导，全面贯彻党的十九大和十九届二中、三中全会精神，深入贯彻习近平生态文明思想，坚决落实党中央、国务院决策部署和省委省政府关于污染防治攻坚战相关要求，以</w:t>
      </w:r>
      <w:r>
        <w:rPr>
          <w:rFonts w:hint="eastAsia" w:ascii="Times New Roman" w:hAnsi="Times New Roman" w:eastAsia="仿宋"/>
          <w:sz w:val="32"/>
          <w:szCs w:val="32"/>
        </w:rPr>
        <w:t>大清河</w:t>
      </w:r>
      <w:r>
        <w:rPr>
          <w:rFonts w:hint="eastAsia" w:ascii="Times New Roman" w:hAnsi="Times New Roman" w:eastAsia="仿宋_GB2312"/>
          <w:sz w:val="32"/>
          <w:szCs w:val="32"/>
        </w:rPr>
        <w:t>水生态环境质量改善为核心，统筹山水林田湖草系统治理，坚持污染防治与生态保护并重，推进水污染治理、水生态修复、水资源保护</w:t>
      </w:r>
      <w:r>
        <w:rPr>
          <w:rFonts w:ascii="Times New Roman" w:hAnsi="Times New Roman" w:eastAsia="仿宋_GB2312"/>
          <w:sz w:val="32"/>
          <w:szCs w:val="32"/>
        </w:rPr>
        <w:t>“</w:t>
      </w:r>
      <w:r>
        <w:rPr>
          <w:rFonts w:hint="eastAsia" w:ascii="Times New Roman" w:hAnsi="Times New Roman" w:eastAsia="仿宋_GB2312"/>
          <w:sz w:val="32"/>
          <w:szCs w:val="32"/>
        </w:rPr>
        <w:t>三水共治</w:t>
      </w:r>
      <w:r>
        <w:rPr>
          <w:rFonts w:ascii="Times New Roman" w:hAnsi="Times New Roman" w:eastAsia="仿宋_GB2312"/>
          <w:sz w:val="32"/>
          <w:szCs w:val="32"/>
        </w:rPr>
        <w:t>”</w:t>
      </w:r>
      <w:r>
        <w:rPr>
          <w:rFonts w:hint="eastAsia" w:ascii="Times New Roman" w:hAnsi="Times New Roman" w:eastAsia="仿宋_GB2312"/>
          <w:sz w:val="32"/>
          <w:szCs w:val="32"/>
        </w:rPr>
        <w:t>，强化污染源精细化管控，创新体制机制建设，落实党政各方责任，着力解决突出水生态环境问题，确保</w:t>
      </w:r>
      <w:r>
        <w:rPr>
          <w:rFonts w:hint="eastAsia" w:ascii="Times New Roman" w:hAnsi="Times New Roman" w:eastAsia="仿宋"/>
          <w:sz w:val="32"/>
          <w:szCs w:val="32"/>
        </w:rPr>
        <w:t>大清</w:t>
      </w:r>
      <w:r>
        <w:rPr>
          <w:rFonts w:hint="eastAsia" w:ascii="Times New Roman" w:hAnsi="Times New Roman" w:eastAsia="仿宋_GB2312"/>
          <w:sz w:val="32"/>
          <w:szCs w:val="32"/>
        </w:rPr>
        <w:t>河水生态环境质量持续改善，为京津冀协同发展提供有力的水生态环境支撑。</w:t>
      </w:r>
    </w:p>
    <w:p>
      <w:pPr>
        <w:pStyle w:val="3"/>
        <w:adjustRightInd w:val="0"/>
        <w:snapToGrid w:val="0"/>
        <w:spacing w:line="590" w:lineRule="exact"/>
        <w:ind w:firstLine="643"/>
        <w:rPr>
          <w:rFonts w:eastAsia="楷体_GB2312"/>
        </w:rPr>
      </w:pPr>
      <w:bookmarkStart w:id="170" w:name="_Toc8577"/>
      <w:r>
        <w:rPr>
          <w:rFonts w:eastAsia="楷体_GB2312"/>
        </w:rPr>
        <w:t>1.4</w:t>
      </w:r>
      <w:r>
        <w:rPr>
          <w:rFonts w:hint="eastAsia" w:eastAsia="楷体_GB2312"/>
        </w:rPr>
        <w:t>工作范围和时限</w:t>
      </w:r>
      <w:bookmarkEnd w:id="170"/>
    </w:p>
    <w:p>
      <w:pPr>
        <w:pStyle w:val="12"/>
        <w:autoSpaceDN w:val="0"/>
        <w:adjustRightInd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方案范围主要包括文安县境内赵王新河和霸州市境内中亭河、牤牛河、雄固霸新河等河流，以及大清河沿岸石沟干渠、十马干渠等</w:t>
      </w:r>
      <w:r>
        <w:rPr>
          <w:rFonts w:ascii="Times New Roman" w:hAnsi="Times New Roman" w:eastAsia="仿宋_GB2312"/>
          <w:sz w:val="32"/>
          <w:szCs w:val="32"/>
        </w:rPr>
        <w:t>6</w:t>
      </w:r>
      <w:r>
        <w:rPr>
          <w:rFonts w:hint="eastAsia" w:ascii="Times New Roman" w:hAnsi="Times New Roman" w:eastAsia="仿宋_GB2312"/>
          <w:sz w:val="32"/>
          <w:szCs w:val="32"/>
        </w:rPr>
        <w:t>条排干渠，流域面积</w:t>
      </w:r>
      <w:r>
        <w:rPr>
          <w:rFonts w:ascii="Times New Roman" w:hAnsi="Times New Roman" w:eastAsia="仿宋_GB2312"/>
          <w:sz w:val="32"/>
          <w:szCs w:val="32"/>
        </w:rPr>
        <w:t>1815.48</w:t>
      </w:r>
      <w:r>
        <w:rPr>
          <w:rFonts w:hint="eastAsia" w:ascii="Times New Roman" w:hAnsi="Times New Roman" w:eastAsia="仿宋_GB2312"/>
          <w:sz w:val="32"/>
          <w:szCs w:val="32"/>
        </w:rPr>
        <w:t>平方公里，行政区域涉及文安县和霸州市，涉及文安县和霸州市</w:t>
      </w:r>
      <w:r>
        <w:rPr>
          <w:rFonts w:ascii="Times New Roman" w:hAnsi="Times New Roman" w:eastAsia="仿宋_GB2312"/>
          <w:sz w:val="32"/>
          <w:szCs w:val="32"/>
        </w:rPr>
        <w:t>21</w:t>
      </w:r>
      <w:r>
        <w:rPr>
          <w:rFonts w:hint="eastAsia" w:ascii="Times New Roman" w:hAnsi="Times New Roman" w:eastAsia="仿宋_GB2312"/>
          <w:sz w:val="32"/>
          <w:szCs w:val="32"/>
        </w:rPr>
        <w:t>个乡（镇）。</w:t>
      </w:r>
    </w:p>
    <w:p>
      <w:pPr>
        <w:pStyle w:val="12"/>
        <w:autoSpaceDN w:val="0"/>
        <w:adjustRightInd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本方案基准年为</w:t>
      </w:r>
      <w:r>
        <w:rPr>
          <w:rFonts w:ascii="Times New Roman" w:hAnsi="Times New Roman" w:eastAsia="仿宋_GB2312"/>
          <w:sz w:val="32"/>
          <w:szCs w:val="32"/>
        </w:rPr>
        <w:t>2018</w:t>
      </w:r>
      <w:r>
        <w:rPr>
          <w:rFonts w:hint="eastAsia" w:ascii="Times New Roman" w:hAnsi="Times New Roman" w:eastAsia="仿宋_GB2312"/>
          <w:sz w:val="32"/>
          <w:szCs w:val="32"/>
        </w:rPr>
        <w:t>年，目标年为</w:t>
      </w:r>
      <w:r>
        <w:rPr>
          <w:rFonts w:ascii="Times New Roman" w:hAnsi="Times New Roman" w:eastAsia="仿宋_GB2312"/>
          <w:sz w:val="32"/>
          <w:szCs w:val="32"/>
        </w:rPr>
        <w:t>2020</w:t>
      </w:r>
      <w:r>
        <w:rPr>
          <w:rFonts w:hint="eastAsia" w:ascii="Times New Roman" w:hAnsi="Times New Roman" w:eastAsia="仿宋_GB2312"/>
          <w:sz w:val="32"/>
          <w:szCs w:val="32"/>
        </w:rPr>
        <w:t>年。</w:t>
      </w:r>
    </w:p>
    <w:p>
      <w:pPr>
        <w:pStyle w:val="5"/>
        <w:spacing w:before="221" w:beforeLines="50" w:after="221"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1</w:t>
      </w:r>
      <w:r>
        <w:rPr>
          <w:rFonts w:hint="eastAsia" w:ascii="Times New Roman" w:hAnsi="Times New Roman"/>
          <w:bCs/>
          <w:sz w:val="32"/>
          <w:szCs w:val="32"/>
        </w:rPr>
        <w:t>-</w:t>
      </w:r>
      <w:r>
        <w:rPr>
          <w:rFonts w:ascii="Times New Roman" w:hAnsi="Times New Roman"/>
          <w:bCs/>
          <w:sz w:val="32"/>
          <w:szCs w:val="32"/>
        </w:rPr>
        <w:fldChar w:fldCharType="begin"/>
      </w:r>
      <w:r>
        <w:rPr>
          <w:rFonts w:ascii="Times New Roman" w:hAnsi="Times New Roman"/>
          <w:bCs/>
          <w:sz w:val="32"/>
          <w:szCs w:val="32"/>
        </w:rPr>
        <w:instrText xml:space="preserve"> SEQ </w:instrText>
      </w:r>
      <w:r>
        <w:rPr>
          <w:rFonts w:hint="eastAsia" w:ascii="Times New Roman" w:hAnsi="Times New Roman"/>
          <w:bCs/>
          <w:sz w:val="32"/>
          <w:szCs w:val="32"/>
        </w:rPr>
        <w:instrText xml:space="preserve">表</w:instrText>
      </w:r>
      <w:r>
        <w:rPr>
          <w:rFonts w:ascii="Times New Roman" w:hAnsi="Times New Roman"/>
          <w:bCs/>
          <w:sz w:val="32"/>
          <w:szCs w:val="32"/>
        </w:rPr>
        <w:instrText xml:space="preserve"> \* ARABIC \s 1 </w:instrText>
      </w:r>
      <w:r>
        <w:rPr>
          <w:rFonts w:ascii="Times New Roman" w:hAnsi="Times New Roman"/>
          <w:bCs/>
          <w:sz w:val="32"/>
          <w:szCs w:val="32"/>
        </w:rPr>
        <w:fldChar w:fldCharType="separate"/>
      </w:r>
      <w:r>
        <w:rPr>
          <w:rFonts w:ascii="Times New Roman" w:hAnsi="Times New Roman"/>
          <w:bCs/>
          <w:sz w:val="32"/>
          <w:szCs w:val="32"/>
        </w:rPr>
        <w:t>1</w:t>
      </w:r>
      <w:r>
        <w:rPr>
          <w:rFonts w:ascii="Times New Roman" w:hAnsi="Times New Roman"/>
          <w:bCs/>
          <w:sz w:val="32"/>
          <w:szCs w:val="32"/>
        </w:rPr>
        <w:fldChar w:fldCharType="end"/>
      </w:r>
      <w:r>
        <w:rPr>
          <w:rFonts w:hint="eastAsia" w:ascii="Times New Roman" w:hAnsi="Times New Roman"/>
          <w:bCs/>
          <w:sz w:val="32"/>
          <w:szCs w:val="32"/>
        </w:rPr>
        <w:t xml:space="preserve">  流域范围内涉及乡镇</w:t>
      </w:r>
    </w:p>
    <w:tbl>
      <w:tblPr>
        <w:tblStyle w:val="11"/>
        <w:tblW w:w="877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5"/>
        <w:gridCol w:w="7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1" w:hRule="atLeast"/>
          <w:jc w:val="center"/>
        </w:trPr>
        <w:tc>
          <w:tcPr>
            <w:tcW w:w="1395"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县市</w:t>
            </w:r>
          </w:p>
        </w:tc>
        <w:tc>
          <w:tcPr>
            <w:tcW w:w="7377" w:type="dxa"/>
            <w:vAlign w:val="center"/>
          </w:tcPr>
          <w:p>
            <w:pPr>
              <w:spacing w:line="240" w:lineRule="auto"/>
              <w:ind w:firstLine="0" w:firstLineChars="0"/>
              <w:jc w:val="center"/>
              <w:rPr>
                <w:rFonts w:eastAsia="仿宋_GB2312" w:cs="Times New Roman"/>
                <w:b/>
                <w:szCs w:val="24"/>
              </w:rPr>
            </w:pPr>
            <w:r>
              <w:rPr>
                <w:rFonts w:eastAsia="仿宋_GB2312" w:cs="Times New Roman"/>
                <w:b/>
                <w:szCs w:val="24"/>
              </w:rPr>
              <w:t>乡镇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29" w:hRule="atLeast"/>
          <w:jc w:val="center"/>
        </w:trPr>
        <w:tc>
          <w:tcPr>
            <w:tcW w:w="1395"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文安县</w:t>
            </w:r>
          </w:p>
        </w:tc>
        <w:tc>
          <w:tcPr>
            <w:tcW w:w="7377" w:type="dxa"/>
            <w:vAlign w:val="center"/>
          </w:tcPr>
          <w:p>
            <w:pPr>
              <w:spacing w:line="240" w:lineRule="auto"/>
              <w:ind w:firstLine="0" w:firstLineChars="0"/>
              <w:jc w:val="left"/>
              <w:rPr>
                <w:rFonts w:eastAsia="仿宋_GB2312" w:cs="Times New Roman"/>
                <w:szCs w:val="24"/>
              </w:rPr>
            </w:pPr>
            <w:r>
              <w:rPr>
                <w:rFonts w:eastAsia="仿宋_GB2312" w:cs="Times New Roman"/>
                <w:szCs w:val="24"/>
              </w:rPr>
              <w:t>兴隆宫镇、史各庄镇、新镇镇、苏桥镇、大围河乡、界围农场、大柳河镇、左各庄镇、滩里镇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15" w:hRule="atLeast"/>
          <w:jc w:val="center"/>
        </w:trPr>
        <w:tc>
          <w:tcPr>
            <w:tcW w:w="1395" w:type="dxa"/>
            <w:vAlign w:val="center"/>
          </w:tcPr>
          <w:p>
            <w:pPr>
              <w:spacing w:line="240" w:lineRule="auto"/>
              <w:ind w:firstLine="0" w:firstLineChars="0"/>
              <w:jc w:val="center"/>
              <w:rPr>
                <w:rFonts w:eastAsia="仿宋_GB2312" w:cs="Times New Roman"/>
                <w:szCs w:val="24"/>
              </w:rPr>
            </w:pPr>
            <w:r>
              <w:rPr>
                <w:rFonts w:eastAsia="仿宋_GB2312" w:cs="Times New Roman"/>
                <w:szCs w:val="24"/>
              </w:rPr>
              <w:t>霸州市</w:t>
            </w:r>
          </w:p>
        </w:tc>
        <w:tc>
          <w:tcPr>
            <w:tcW w:w="7377" w:type="dxa"/>
            <w:vAlign w:val="center"/>
          </w:tcPr>
          <w:p>
            <w:pPr>
              <w:spacing w:line="240" w:lineRule="auto"/>
              <w:ind w:firstLine="0" w:firstLineChars="0"/>
              <w:jc w:val="left"/>
              <w:rPr>
                <w:rFonts w:eastAsia="仿宋_GB2312" w:cs="Times New Roman"/>
                <w:szCs w:val="24"/>
              </w:rPr>
            </w:pPr>
            <w:r>
              <w:rPr>
                <w:rFonts w:eastAsia="仿宋_GB2312" w:cs="Times New Roman"/>
                <w:szCs w:val="24"/>
              </w:rPr>
              <w:t>胜芳镇、霸州镇、信安镇、煎茶铺镇、南孟镇、堂二里镇、岔河集乡、康仙庄乡、东杨庄乡、东段乡、王庄子乡、杨芬港镇</w:t>
            </w:r>
          </w:p>
        </w:tc>
      </w:tr>
    </w:tbl>
    <w:p>
      <w:pPr>
        <w:spacing w:before="132" w:beforeLines="30" w:line="600" w:lineRule="exact"/>
        <w:ind w:firstLine="640"/>
        <w:rPr>
          <w:rFonts w:eastAsia="仿宋_GB2312" w:cs="Times New Roman"/>
          <w:sz w:val="32"/>
          <w:szCs w:val="32"/>
        </w:rPr>
      </w:pPr>
      <w:r>
        <w:rPr>
          <w:rFonts w:eastAsia="仿宋_GB2312" w:cs="Times New Roman"/>
          <w:sz w:val="32"/>
          <w:szCs w:val="32"/>
        </w:rPr>
        <w:t>本方案的实施年限为2019</w:t>
      </w:r>
      <w:r>
        <w:rPr>
          <w:rFonts w:hint="eastAsia" w:eastAsia="仿宋_GB2312" w:cs="Times New Roman"/>
          <w:sz w:val="32"/>
          <w:szCs w:val="32"/>
        </w:rPr>
        <w:t>—</w:t>
      </w:r>
      <w:r>
        <w:rPr>
          <w:rFonts w:eastAsia="仿宋_GB2312" w:cs="Times New Roman"/>
          <w:sz w:val="32"/>
          <w:szCs w:val="32"/>
        </w:rPr>
        <w:t>2020年。</w:t>
      </w:r>
    </w:p>
    <w:p>
      <w:pPr>
        <w:pStyle w:val="3"/>
        <w:spacing w:line="590" w:lineRule="exact"/>
        <w:ind w:firstLine="643"/>
        <w:rPr>
          <w:rFonts w:eastAsia="楷体_GB2312"/>
        </w:rPr>
      </w:pPr>
      <w:bookmarkStart w:id="171" w:name="_Toc13543"/>
      <w:r>
        <w:rPr>
          <w:rFonts w:eastAsia="楷体_GB2312"/>
        </w:rPr>
        <w:t>1.5</w:t>
      </w:r>
      <w:r>
        <w:rPr>
          <w:rFonts w:hint="eastAsia" w:eastAsia="楷体_GB2312"/>
        </w:rPr>
        <w:t>治理目标</w:t>
      </w:r>
      <w:bookmarkEnd w:id="171"/>
    </w:p>
    <w:p>
      <w:pPr>
        <w:pStyle w:val="12"/>
        <w:autoSpaceDN w:val="0"/>
        <w:adjustRightInd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大清河流域水环境质量大幅改善，台头断面水质稳定保持</w:t>
      </w:r>
      <w:r>
        <w:rPr>
          <w:rFonts w:ascii="Times New Roman" w:hAnsi="Times New Roman" w:eastAsia="仿宋_GB2312"/>
          <w:sz w:val="32"/>
          <w:szCs w:val="32"/>
        </w:rPr>
        <w:t>V</w:t>
      </w:r>
      <w:r>
        <w:rPr>
          <w:rFonts w:hint="eastAsia" w:ascii="Times New Roman" w:hAnsi="Times New Roman" w:eastAsia="仿宋_GB2312"/>
          <w:sz w:val="32"/>
          <w:szCs w:val="32"/>
        </w:rPr>
        <w:t>类，主要水污染物排放量持续削减，河流生态系统功能明显提升，水环境监测、预警及应急能力显著提高。</w:t>
      </w:r>
    </w:p>
    <w:p>
      <w:pPr>
        <w:pStyle w:val="5"/>
        <w:spacing w:before="221" w:beforeLines="50" w:after="221" w:afterLines="50" w:line="59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1</w:t>
      </w:r>
      <w:r>
        <w:rPr>
          <w:rFonts w:hint="eastAsia" w:ascii="Times New Roman" w:hAnsi="Times New Roman"/>
          <w:bCs/>
          <w:sz w:val="32"/>
          <w:szCs w:val="32"/>
        </w:rPr>
        <w:t>-</w:t>
      </w:r>
      <w:r>
        <w:rPr>
          <w:rFonts w:ascii="Times New Roman" w:hAnsi="Times New Roman"/>
          <w:bCs/>
          <w:sz w:val="32"/>
          <w:szCs w:val="32"/>
        </w:rPr>
        <w:t xml:space="preserve">2  </w:t>
      </w:r>
      <w:r>
        <w:rPr>
          <w:rFonts w:hint="eastAsia" w:ascii="Times New Roman" w:hAnsi="Times New Roman"/>
          <w:bCs/>
          <w:sz w:val="32"/>
          <w:szCs w:val="32"/>
        </w:rPr>
        <w:t>大清河流域水质断面目标</w:t>
      </w:r>
    </w:p>
    <w:tbl>
      <w:tblPr>
        <w:tblStyle w:val="11"/>
        <w:tblW w:w="88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1213"/>
        <w:gridCol w:w="1364"/>
        <w:gridCol w:w="1368"/>
        <w:gridCol w:w="1062"/>
        <w:gridCol w:w="1061"/>
        <w:gridCol w:w="1062"/>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24" w:hRule="atLeast"/>
          <w:tblHeader/>
          <w:jc w:val="center"/>
        </w:trPr>
        <w:tc>
          <w:tcPr>
            <w:tcW w:w="760"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序号</w:t>
            </w:r>
          </w:p>
        </w:tc>
        <w:tc>
          <w:tcPr>
            <w:tcW w:w="1213"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所属水系</w:t>
            </w:r>
          </w:p>
        </w:tc>
        <w:tc>
          <w:tcPr>
            <w:tcW w:w="1364"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所在水体</w:t>
            </w:r>
          </w:p>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名称</w:t>
            </w:r>
          </w:p>
        </w:tc>
        <w:tc>
          <w:tcPr>
            <w:tcW w:w="1368"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断面</w:t>
            </w:r>
          </w:p>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名称</w:t>
            </w:r>
          </w:p>
        </w:tc>
        <w:tc>
          <w:tcPr>
            <w:tcW w:w="1062"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2018年</w:t>
            </w:r>
          </w:p>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水质</w:t>
            </w:r>
          </w:p>
        </w:tc>
        <w:tc>
          <w:tcPr>
            <w:tcW w:w="1061" w:type="dxa"/>
            <w:vMerge w:val="restart"/>
            <w:vAlign w:val="center"/>
          </w:tcPr>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b/>
                <w:kern w:val="0"/>
                <w:sz w:val="21"/>
                <w:szCs w:val="28"/>
              </w:rPr>
              <w:t>2019年</w:t>
            </w:r>
          </w:p>
        </w:tc>
        <w:tc>
          <w:tcPr>
            <w:tcW w:w="1062" w:type="dxa"/>
            <w:vMerge w:val="restart"/>
            <w:vAlign w:val="center"/>
          </w:tcPr>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b/>
                <w:kern w:val="0"/>
                <w:sz w:val="21"/>
                <w:szCs w:val="28"/>
              </w:rPr>
              <w:t>2020年</w:t>
            </w:r>
          </w:p>
        </w:tc>
        <w:tc>
          <w:tcPr>
            <w:tcW w:w="990" w:type="dxa"/>
            <w:vMerge w:val="restart"/>
            <w:vAlign w:val="center"/>
          </w:tcPr>
          <w:p>
            <w:pPr>
              <w:adjustRightInd w:val="0"/>
              <w:snapToGrid w:val="0"/>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考核</w:t>
            </w:r>
          </w:p>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b/>
                <w:kern w:val="0"/>
                <w:sz w:val="21"/>
                <w:szCs w:val="28"/>
              </w:rPr>
              <w:t>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1" w:hRule="atLeast"/>
          <w:tblHeader/>
          <w:jc w:val="center"/>
        </w:trPr>
        <w:tc>
          <w:tcPr>
            <w:tcW w:w="760" w:type="dxa"/>
            <w:vMerge w:val="continue"/>
            <w:vAlign w:val="center"/>
          </w:tcPr>
          <w:p>
            <w:pPr>
              <w:snapToGrid w:val="0"/>
              <w:spacing w:line="240" w:lineRule="auto"/>
              <w:ind w:firstLine="0" w:firstLineChars="0"/>
              <w:jc w:val="center"/>
              <w:rPr>
                <w:rFonts w:eastAsia="仿宋_GB2312" w:cs="Times New Roman"/>
                <w:b/>
                <w:kern w:val="0"/>
                <w:sz w:val="21"/>
                <w:szCs w:val="28"/>
              </w:rPr>
            </w:pPr>
          </w:p>
        </w:tc>
        <w:tc>
          <w:tcPr>
            <w:tcW w:w="1213" w:type="dxa"/>
            <w:vMerge w:val="continue"/>
            <w:vAlign w:val="center"/>
          </w:tcPr>
          <w:p>
            <w:pPr>
              <w:snapToGrid w:val="0"/>
              <w:spacing w:line="240" w:lineRule="auto"/>
              <w:ind w:firstLine="0" w:firstLineChars="0"/>
              <w:jc w:val="center"/>
              <w:rPr>
                <w:rFonts w:eastAsia="仿宋_GB2312" w:cs="Times New Roman"/>
                <w:b/>
                <w:kern w:val="0"/>
                <w:sz w:val="21"/>
                <w:szCs w:val="28"/>
              </w:rPr>
            </w:pPr>
          </w:p>
        </w:tc>
        <w:tc>
          <w:tcPr>
            <w:tcW w:w="1364" w:type="dxa"/>
            <w:vMerge w:val="continue"/>
            <w:vAlign w:val="center"/>
          </w:tcPr>
          <w:p>
            <w:pPr>
              <w:snapToGrid w:val="0"/>
              <w:spacing w:line="240" w:lineRule="auto"/>
              <w:ind w:firstLine="0" w:firstLineChars="0"/>
              <w:jc w:val="center"/>
              <w:rPr>
                <w:rFonts w:eastAsia="仿宋_GB2312" w:cs="Times New Roman"/>
                <w:b/>
                <w:kern w:val="0"/>
                <w:sz w:val="21"/>
                <w:szCs w:val="28"/>
              </w:rPr>
            </w:pPr>
          </w:p>
        </w:tc>
        <w:tc>
          <w:tcPr>
            <w:tcW w:w="1368" w:type="dxa"/>
            <w:vMerge w:val="continue"/>
            <w:vAlign w:val="center"/>
          </w:tcPr>
          <w:p>
            <w:pPr>
              <w:snapToGrid w:val="0"/>
              <w:spacing w:line="240" w:lineRule="auto"/>
              <w:ind w:firstLine="0" w:firstLineChars="0"/>
              <w:jc w:val="center"/>
              <w:rPr>
                <w:rFonts w:eastAsia="仿宋_GB2312" w:cs="Times New Roman"/>
                <w:b/>
                <w:kern w:val="0"/>
                <w:sz w:val="21"/>
                <w:szCs w:val="28"/>
              </w:rPr>
            </w:pPr>
          </w:p>
        </w:tc>
        <w:tc>
          <w:tcPr>
            <w:tcW w:w="1062" w:type="dxa"/>
            <w:vMerge w:val="continue"/>
            <w:vAlign w:val="center"/>
          </w:tcPr>
          <w:p>
            <w:pPr>
              <w:snapToGrid w:val="0"/>
              <w:spacing w:line="240" w:lineRule="auto"/>
              <w:ind w:firstLine="0" w:firstLineChars="0"/>
              <w:jc w:val="center"/>
              <w:rPr>
                <w:rFonts w:eastAsia="仿宋_GB2312" w:cs="Times New Roman"/>
                <w:b/>
                <w:kern w:val="0"/>
                <w:sz w:val="21"/>
                <w:szCs w:val="28"/>
              </w:rPr>
            </w:pPr>
          </w:p>
        </w:tc>
        <w:tc>
          <w:tcPr>
            <w:tcW w:w="1061" w:type="dxa"/>
            <w:vMerge w:val="continue"/>
            <w:vAlign w:val="top"/>
          </w:tcPr>
          <w:p>
            <w:pPr>
              <w:snapToGrid w:val="0"/>
              <w:spacing w:line="240" w:lineRule="auto"/>
              <w:ind w:firstLine="0" w:firstLineChars="0"/>
              <w:jc w:val="center"/>
              <w:rPr>
                <w:rFonts w:eastAsia="仿宋_GB2312" w:cs="Times New Roman"/>
                <w:b/>
                <w:kern w:val="0"/>
                <w:sz w:val="21"/>
                <w:szCs w:val="28"/>
              </w:rPr>
            </w:pPr>
          </w:p>
        </w:tc>
        <w:tc>
          <w:tcPr>
            <w:tcW w:w="1062" w:type="dxa"/>
            <w:vMerge w:val="continue"/>
            <w:vAlign w:val="top"/>
          </w:tcPr>
          <w:p>
            <w:pPr>
              <w:snapToGrid w:val="0"/>
              <w:spacing w:line="240" w:lineRule="auto"/>
              <w:ind w:firstLine="0" w:firstLineChars="0"/>
              <w:jc w:val="center"/>
              <w:rPr>
                <w:rFonts w:eastAsia="仿宋_GB2312" w:cs="Times New Roman"/>
                <w:b/>
                <w:kern w:val="0"/>
                <w:sz w:val="21"/>
                <w:szCs w:val="28"/>
              </w:rPr>
            </w:pPr>
          </w:p>
        </w:tc>
        <w:tc>
          <w:tcPr>
            <w:tcW w:w="990" w:type="dxa"/>
            <w:vMerge w:val="continue"/>
            <w:vAlign w:val="center"/>
          </w:tcPr>
          <w:p>
            <w:pPr>
              <w:snapToGrid w:val="0"/>
              <w:spacing w:line="240" w:lineRule="auto"/>
              <w:ind w:firstLine="0" w:firstLineChars="0"/>
              <w:jc w:val="center"/>
              <w:rPr>
                <w:rFonts w:eastAsia="仿宋_GB2312" w:cs="Times New Roman"/>
                <w:kern w:val="0"/>
                <w:sz w:val="21"/>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57" w:hRule="atLeast"/>
          <w:jc w:val="center"/>
        </w:trPr>
        <w:tc>
          <w:tcPr>
            <w:tcW w:w="760" w:type="dxa"/>
            <w:vAlign w:val="center"/>
          </w:tcPr>
          <w:p>
            <w:pPr>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w:t>
            </w:r>
          </w:p>
        </w:tc>
        <w:tc>
          <w:tcPr>
            <w:tcW w:w="1213" w:type="dxa"/>
            <w:vAlign w:val="center"/>
          </w:tcPr>
          <w:p>
            <w:pPr>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大清河</w:t>
            </w:r>
          </w:p>
        </w:tc>
        <w:tc>
          <w:tcPr>
            <w:tcW w:w="1364" w:type="dxa"/>
            <w:vAlign w:val="center"/>
          </w:tcPr>
          <w:p>
            <w:pPr>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大清河</w:t>
            </w:r>
          </w:p>
        </w:tc>
        <w:tc>
          <w:tcPr>
            <w:tcW w:w="1368" w:type="dxa"/>
            <w:vAlign w:val="center"/>
          </w:tcPr>
          <w:p>
            <w:pPr>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台头断面</w:t>
            </w:r>
          </w:p>
        </w:tc>
        <w:tc>
          <w:tcPr>
            <w:tcW w:w="1062" w:type="dxa"/>
            <w:vAlign w:val="center"/>
          </w:tcPr>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劣V</w:t>
            </w:r>
          </w:p>
        </w:tc>
        <w:tc>
          <w:tcPr>
            <w:tcW w:w="1061" w:type="dxa"/>
            <w:vAlign w:val="center"/>
          </w:tcPr>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V</w:t>
            </w:r>
          </w:p>
        </w:tc>
        <w:tc>
          <w:tcPr>
            <w:tcW w:w="1062" w:type="dxa"/>
            <w:vAlign w:val="center"/>
          </w:tcPr>
          <w:p>
            <w:pPr>
              <w:adjustRightInd w:val="0"/>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V</w:t>
            </w:r>
          </w:p>
        </w:tc>
        <w:tc>
          <w:tcPr>
            <w:tcW w:w="990" w:type="dxa"/>
            <w:vAlign w:val="center"/>
          </w:tcPr>
          <w:p>
            <w:pPr>
              <w:snapToGrid w:val="0"/>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国考</w:t>
            </w:r>
          </w:p>
        </w:tc>
      </w:tr>
    </w:tbl>
    <w:p>
      <w:pPr>
        <w:pStyle w:val="3"/>
        <w:adjustRightInd w:val="0"/>
        <w:snapToGrid w:val="0"/>
        <w:spacing w:before="132" w:beforeLines="30" w:line="590" w:lineRule="exact"/>
        <w:ind w:firstLine="643"/>
        <w:rPr>
          <w:rFonts w:eastAsia="楷体_GB2312"/>
        </w:rPr>
      </w:pPr>
      <w:bookmarkStart w:id="172" w:name="_Toc1426"/>
      <w:r>
        <w:rPr>
          <w:rFonts w:eastAsia="楷体_GB2312"/>
        </w:rPr>
        <w:t>1.6</w:t>
      </w:r>
      <w:r>
        <w:rPr>
          <w:rFonts w:hint="eastAsia" w:eastAsia="楷体_GB2312"/>
        </w:rPr>
        <w:t>治理思路</w:t>
      </w:r>
      <w:bookmarkEnd w:id="172"/>
    </w:p>
    <w:p>
      <w:pPr>
        <w:pStyle w:val="12"/>
        <w:autoSpaceDN w:val="0"/>
        <w:adjustRightInd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根据大清河流域地形、地貌、水系格局、水生态环境状况和环境问题，实施</w:t>
      </w:r>
      <w:r>
        <w:rPr>
          <w:rFonts w:ascii="Times New Roman" w:hAnsi="Times New Roman" w:eastAsia="仿宋_GB2312"/>
          <w:sz w:val="32"/>
          <w:szCs w:val="32"/>
        </w:rPr>
        <w:t>“</w:t>
      </w:r>
      <w:r>
        <w:rPr>
          <w:rFonts w:hint="eastAsia" w:ascii="Times New Roman" w:hAnsi="Times New Roman" w:eastAsia="仿宋_GB2312"/>
          <w:sz w:val="32"/>
          <w:szCs w:val="32"/>
        </w:rPr>
        <w:t>治、用、连、管</w:t>
      </w:r>
      <w:r>
        <w:rPr>
          <w:rFonts w:ascii="Times New Roman" w:hAnsi="Times New Roman" w:eastAsia="仿宋_GB2312"/>
          <w:sz w:val="32"/>
          <w:szCs w:val="32"/>
        </w:rPr>
        <w:t>”</w:t>
      </w:r>
      <w:r>
        <w:rPr>
          <w:rFonts w:hint="eastAsia" w:ascii="Times New Roman" w:hAnsi="Times New Roman" w:eastAsia="仿宋_GB2312"/>
          <w:sz w:val="32"/>
          <w:szCs w:val="32"/>
        </w:rPr>
        <w:t>相结合的思路开展大清河水环境治理并设计重点任务。</w:t>
      </w:r>
    </w:p>
    <w:p>
      <w:pPr>
        <w:pStyle w:val="12"/>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治</w:t>
      </w:r>
      <w:r>
        <w:rPr>
          <w:rFonts w:ascii="Times New Roman" w:hAnsi="Times New Roman" w:eastAsia="仿宋_GB2312"/>
          <w:sz w:val="32"/>
          <w:szCs w:val="32"/>
        </w:rPr>
        <w:t>”——</w:t>
      </w:r>
      <w:r>
        <w:rPr>
          <w:rFonts w:hint="eastAsia" w:ascii="Times New Roman" w:hAnsi="Times New Roman" w:eastAsia="仿宋_GB2312"/>
          <w:sz w:val="32"/>
          <w:szCs w:val="32"/>
        </w:rPr>
        <w:t>强化污染源头治理，以控源截污为前提，实现工业、城镇污水全部收集和集中处理，稳定达到一级</w:t>
      </w:r>
      <w:r>
        <w:rPr>
          <w:rFonts w:ascii="Times New Roman" w:hAnsi="Times New Roman" w:eastAsia="仿宋_GB2312"/>
          <w:sz w:val="32"/>
          <w:szCs w:val="32"/>
        </w:rPr>
        <w:t>A</w:t>
      </w:r>
      <w:r>
        <w:rPr>
          <w:rFonts w:hint="eastAsia" w:ascii="Times New Roman" w:hAnsi="Times New Roman" w:eastAsia="仿宋_GB2312"/>
          <w:sz w:val="32"/>
          <w:szCs w:val="32"/>
        </w:rPr>
        <w:t>或京</w:t>
      </w:r>
      <w:r>
        <w:rPr>
          <w:rFonts w:ascii="Times New Roman" w:hAnsi="Times New Roman" w:eastAsia="仿宋_GB2312"/>
          <w:sz w:val="32"/>
          <w:szCs w:val="32"/>
        </w:rPr>
        <w:t>B</w:t>
      </w:r>
      <w:r>
        <w:rPr>
          <w:rFonts w:hint="eastAsia" w:ascii="Times New Roman" w:hAnsi="Times New Roman" w:eastAsia="仿宋_GB2312"/>
          <w:sz w:val="32"/>
          <w:szCs w:val="32"/>
        </w:rPr>
        <w:t>标准，逐步开展农村和农业污染源治理。</w:t>
      </w:r>
    </w:p>
    <w:p>
      <w:pPr>
        <w:pStyle w:val="12"/>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用</w:t>
      </w:r>
      <w:r>
        <w:rPr>
          <w:rFonts w:ascii="Times New Roman" w:hAnsi="Times New Roman" w:eastAsia="仿宋_GB2312"/>
          <w:sz w:val="32"/>
          <w:szCs w:val="32"/>
        </w:rPr>
        <w:t>”——</w:t>
      </w:r>
      <w:r>
        <w:rPr>
          <w:rFonts w:hint="eastAsia" w:ascii="Times New Roman" w:hAnsi="Times New Roman" w:eastAsia="仿宋_GB2312"/>
          <w:sz w:val="32"/>
          <w:szCs w:val="32"/>
        </w:rPr>
        <w:t>加强水资源的循环利用，构建企业和区域再生水循环利用体系，减少废水排放。现有污水处理厂处理达标后的尾水通过生态景观用水、水系生态补水等方式加强循环利用。</w:t>
      </w:r>
    </w:p>
    <w:p>
      <w:pPr>
        <w:pStyle w:val="12"/>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连</w:t>
      </w:r>
      <w:r>
        <w:rPr>
          <w:rFonts w:ascii="Times New Roman" w:hAnsi="Times New Roman" w:eastAsia="仿宋_GB2312"/>
          <w:sz w:val="32"/>
          <w:szCs w:val="32"/>
        </w:rPr>
        <w:t>”——</w:t>
      </w:r>
      <w:r>
        <w:rPr>
          <w:rFonts w:hint="eastAsia" w:ascii="Times New Roman" w:hAnsi="Times New Roman" w:eastAsia="仿宋_GB2312"/>
          <w:sz w:val="32"/>
          <w:szCs w:val="32"/>
        </w:rPr>
        <w:t>在老大清河上游、文安县排干渠系统内构建循环水系，提升流域环境承载力，提高湿地蓄、滞能力，恢复河流自然生态净化功能，重现大清河流域生态链条，恢复生物多样性。</w:t>
      </w:r>
    </w:p>
    <w:p>
      <w:pPr>
        <w:pStyle w:val="12"/>
        <w:autoSpaceDN w:val="0"/>
        <w:adjustRightInd w:val="0"/>
        <w:snapToGrid w:val="0"/>
        <w:spacing w:line="590" w:lineRule="exact"/>
        <w:ind w:firstLine="640"/>
        <w:rPr>
          <w:rFonts w:ascii="Times New Roman" w:hAnsi="Times New Roman" w:eastAsia="仿宋_GB2312"/>
          <w:sz w:val="32"/>
          <w:szCs w:val="32"/>
        </w:rPr>
      </w:pPr>
      <w:r>
        <w:rPr>
          <w:rFonts w:ascii="Times New Roman" w:hAnsi="Times New Roman" w:eastAsia="仿宋_GB2312"/>
          <w:sz w:val="32"/>
          <w:szCs w:val="32"/>
        </w:rPr>
        <w:t>“</w:t>
      </w:r>
      <w:r>
        <w:rPr>
          <w:rFonts w:hint="eastAsia" w:ascii="Times New Roman" w:hAnsi="Times New Roman" w:eastAsia="仿宋_GB2312"/>
          <w:sz w:val="32"/>
          <w:szCs w:val="32"/>
        </w:rPr>
        <w:t>管</w:t>
      </w:r>
      <w:r>
        <w:rPr>
          <w:rFonts w:ascii="Times New Roman" w:hAnsi="Times New Roman" w:eastAsia="仿宋_GB2312"/>
          <w:sz w:val="32"/>
          <w:szCs w:val="32"/>
        </w:rPr>
        <w:t>”——</w:t>
      </w:r>
      <w:r>
        <w:rPr>
          <w:rFonts w:hint="eastAsia" w:ascii="Times New Roman" w:hAnsi="Times New Roman" w:eastAsia="仿宋_GB2312"/>
          <w:sz w:val="32"/>
          <w:szCs w:val="32"/>
        </w:rPr>
        <w:t>强化对大清河水生态环境管理。对大清河和中亭河主要工业源和污水处理厂加强监管和执法，有效保障污水处理厂及配套设施的稳定运行。实施流域水生态监管，控制藻类爆发等水生态问题，消除或降低水生态环境突变对水环境质量的影响。</w:t>
      </w:r>
    </w:p>
    <w:p>
      <w:pPr>
        <w:pStyle w:val="2"/>
        <w:adjustRightInd w:val="0"/>
        <w:snapToGrid w:val="0"/>
        <w:spacing w:line="590" w:lineRule="exact"/>
        <w:ind w:firstLine="640"/>
        <w:jc w:val="both"/>
        <w:rPr>
          <w:szCs w:val="32"/>
        </w:rPr>
      </w:pPr>
      <w:bookmarkStart w:id="173" w:name="_Toc5936"/>
      <w:r>
        <w:rPr>
          <w:rFonts w:hint="eastAsia"/>
          <w:szCs w:val="32"/>
        </w:rPr>
        <w:t>二、流域概况</w:t>
      </w:r>
      <w:bookmarkEnd w:id="173"/>
    </w:p>
    <w:p>
      <w:pPr>
        <w:pStyle w:val="3"/>
        <w:adjustRightInd w:val="0"/>
        <w:snapToGrid w:val="0"/>
        <w:spacing w:line="590" w:lineRule="exact"/>
        <w:ind w:firstLine="643"/>
        <w:rPr>
          <w:rFonts w:eastAsia="楷体_GB2312"/>
        </w:rPr>
      </w:pPr>
      <w:bookmarkStart w:id="174" w:name="_Toc10987"/>
      <w:r>
        <w:rPr>
          <w:rFonts w:eastAsia="楷体_GB2312"/>
        </w:rPr>
        <w:t>2.1</w:t>
      </w:r>
      <w:r>
        <w:rPr>
          <w:rFonts w:hint="eastAsia" w:eastAsia="楷体_GB2312"/>
        </w:rPr>
        <w:t>地理位置</w:t>
      </w:r>
      <w:bookmarkEnd w:id="174"/>
    </w:p>
    <w:p>
      <w:pPr>
        <w:pStyle w:val="12"/>
        <w:autoSpaceDN w:val="0"/>
        <w:adjustRightInd w:val="0"/>
        <w:snapToGrid w:val="0"/>
        <w:spacing w:line="590" w:lineRule="exact"/>
        <w:ind w:firstLine="640"/>
        <w:rPr>
          <w:rFonts w:ascii="Times New Roman" w:hAnsi="Times New Roman" w:eastAsia="仿宋_GB2312"/>
          <w:sz w:val="32"/>
          <w:szCs w:val="32"/>
        </w:rPr>
      </w:pPr>
      <w:r>
        <w:rPr>
          <w:rFonts w:hint="eastAsia" w:ascii="Times New Roman" w:hAnsi="Times New Roman" w:eastAsia="仿宋_GB2312"/>
          <w:sz w:val="32"/>
          <w:szCs w:val="32"/>
        </w:rPr>
        <w:t>大清河（文安和霸州段）为文安县和霸州市过境河流，文安县和霸州市地处京、津、保三角地带，是环京、津的重要县之一。经文安县九个乡镇，从安里屯流入天津境内。</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5637530" cy="5057140"/>
            <wp:effectExtent l="0" t="0" r="1270" b="10160"/>
            <wp:docPr id="7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0"/>
                    <pic:cNvPicPr>
                      <a:picLocks noChangeAspect="1"/>
                    </pic:cNvPicPr>
                  </pic:nvPicPr>
                  <pic:blipFill>
                    <a:blip r:embed="rId71"/>
                    <a:stretch>
                      <a:fillRect/>
                    </a:stretch>
                  </pic:blipFill>
                  <pic:spPr>
                    <a:xfrm>
                      <a:off x="0" y="0"/>
                      <a:ext cx="5637530" cy="5057140"/>
                    </a:xfrm>
                    <a:prstGeom prst="rect">
                      <a:avLst/>
                    </a:prstGeom>
                    <a:noFill/>
                    <a:ln w="9525">
                      <a:noFill/>
                    </a:ln>
                  </pic:spPr>
                </pic:pic>
              </a:graphicData>
            </a:graphic>
          </wp:inline>
        </w:drawing>
      </w:r>
    </w:p>
    <w:p>
      <w:pPr>
        <w:pStyle w:val="5"/>
        <w:spacing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2</w:t>
      </w:r>
      <w:r>
        <w:rPr>
          <w:rFonts w:ascii="Times New Roman" w:hAnsi="Times New Roman" w:eastAsia="仿宋"/>
          <w:sz w:val="24"/>
          <w:szCs w:val="24"/>
        </w:rPr>
        <w:t>-</w:t>
      </w:r>
      <w:r>
        <w:rPr>
          <w:rFonts w:ascii="Times New Roman" w:hAnsi="Times New Roman" w:eastAsia="仿宋_GB2312"/>
          <w:b/>
          <w:sz w:val="24"/>
          <w:szCs w:val="24"/>
        </w:rPr>
        <w:t>1</w:t>
      </w:r>
      <w:r>
        <w:rPr>
          <w:rFonts w:hint="eastAsia" w:ascii="Times New Roman" w:hAnsi="Times New Roman" w:eastAsia="仿宋_GB2312"/>
          <w:b/>
          <w:sz w:val="24"/>
          <w:szCs w:val="24"/>
        </w:rPr>
        <w:t>　大清河地理位置图</w:t>
      </w:r>
    </w:p>
    <w:p>
      <w:pPr>
        <w:pStyle w:val="3"/>
        <w:spacing w:line="590" w:lineRule="exact"/>
        <w:ind w:firstLine="643"/>
        <w:rPr>
          <w:rFonts w:eastAsia="楷体_GB2312"/>
        </w:rPr>
      </w:pPr>
      <w:bookmarkStart w:id="175" w:name="_Toc23463"/>
      <w:bookmarkStart w:id="176" w:name="_Toc14406"/>
      <w:r>
        <w:rPr>
          <w:rFonts w:eastAsia="楷体_GB2312"/>
        </w:rPr>
        <w:t>2.2</w:t>
      </w:r>
      <w:r>
        <w:rPr>
          <w:rFonts w:hint="eastAsia" w:eastAsia="楷体_GB2312"/>
        </w:rPr>
        <w:t>地形地貌</w:t>
      </w:r>
      <w:bookmarkEnd w:id="175"/>
      <w:bookmarkEnd w:id="176"/>
    </w:p>
    <w:p>
      <w:pPr>
        <w:spacing w:line="590" w:lineRule="exact"/>
        <w:ind w:firstLine="640"/>
        <w:rPr>
          <w:rFonts w:eastAsia="仿宋_GB2312" w:cs="Times New Roman"/>
          <w:sz w:val="32"/>
          <w:szCs w:val="32"/>
        </w:rPr>
      </w:pPr>
      <w:r>
        <w:rPr>
          <w:rFonts w:eastAsia="仿宋_GB2312" w:cs="Times New Roman"/>
          <w:sz w:val="32"/>
          <w:szCs w:val="32"/>
        </w:rPr>
        <w:t>文安县境内无山脉、丘陵，地势低平，自西北向东南缓倾，地面高程海拔11.1米缓降到2.1米。按地势和环境不同可分为西北高上区、东北部风沙区、中部河间洼地区、溢流洼溢洪区和东淀滞洪区五个类区。</w:t>
      </w:r>
    </w:p>
    <w:p>
      <w:pPr>
        <w:spacing w:line="590" w:lineRule="exact"/>
        <w:ind w:firstLine="640"/>
        <w:rPr>
          <w:szCs w:val="32"/>
        </w:rPr>
      </w:pPr>
      <w:r>
        <w:rPr>
          <w:rFonts w:eastAsia="仿宋_GB2312" w:cs="Times New Roman"/>
          <w:sz w:val="32"/>
          <w:szCs w:val="32"/>
        </w:rPr>
        <w:t>土壤类型主要有潮土、沼泽土、草甸土三个土类，其中：分布广、面积较大的是潮土类，736平方公里，占土地总面积的92%；沼泽土类47.2平方公里，占土地总面积的5.9%；草甸土仅有16.8平方公里，占土地总面积的2.1%。</w:t>
      </w:r>
    </w:p>
    <w:p>
      <w:pPr>
        <w:pStyle w:val="3"/>
        <w:spacing w:line="590" w:lineRule="exact"/>
        <w:ind w:firstLine="643"/>
        <w:rPr>
          <w:rFonts w:eastAsia="楷体_GB2312"/>
        </w:rPr>
      </w:pPr>
      <w:bookmarkStart w:id="177" w:name="_Toc29678"/>
      <w:r>
        <w:rPr>
          <w:rFonts w:eastAsia="楷体_GB2312"/>
        </w:rPr>
        <w:t>2.3</w:t>
      </w:r>
      <w:r>
        <w:rPr>
          <w:rFonts w:hint="eastAsia" w:eastAsia="楷体_GB2312"/>
        </w:rPr>
        <w:t>气象气候</w:t>
      </w:r>
      <w:bookmarkEnd w:id="177"/>
    </w:p>
    <w:p>
      <w:pPr>
        <w:spacing w:line="590" w:lineRule="exact"/>
        <w:ind w:firstLine="640"/>
        <w:rPr>
          <w:rFonts w:eastAsia="仿宋_GB2312" w:cs="Times New Roman"/>
          <w:sz w:val="32"/>
          <w:szCs w:val="32"/>
        </w:rPr>
      </w:pPr>
      <w:r>
        <w:rPr>
          <w:rFonts w:hint="eastAsia" w:eastAsia="仿宋_GB2312" w:cs="Times New Roman"/>
          <w:sz w:val="32"/>
          <w:szCs w:val="32"/>
        </w:rPr>
        <w:t>大清河地处中纬度地带，属暖温带大陆性季风气候，四季分明、气温适中、光照充足、热量丰富、无霜期较长、降雨集中。夏季炎热多雨，冬季寒冷干燥，春季干旱多风沙。</w:t>
      </w:r>
    </w:p>
    <w:p>
      <w:pPr>
        <w:spacing w:line="590" w:lineRule="exact"/>
        <w:ind w:firstLine="640"/>
        <w:rPr>
          <w:rFonts w:eastAsia="仿宋_GB2312" w:cs="Times New Roman"/>
          <w:sz w:val="32"/>
          <w:szCs w:val="32"/>
        </w:rPr>
      </w:pPr>
      <w:r>
        <w:rPr>
          <w:rFonts w:hint="eastAsia" w:eastAsia="仿宋_GB2312" w:cs="Times New Roman"/>
          <w:sz w:val="32"/>
          <w:szCs w:val="32"/>
        </w:rPr>
        <w:t>年均气温</w:t>
      </w:r>
      <w:r>
        <w:rPr>
          <w:rFonts w:eastAsia="仿宋_GB2312" w:cs="Times New Roman"/>
          <w:sz w:val="32"/>
          <w:szCs w:val="32"/>
        </w:rPr>
        <w:t>12.4</w:t>
      </w: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月为最冷月，平均气温-</w:t>
      </w:r>
      <w:r>
        <w:rPr>
          <w:rFonts w:eastAsia="仿宋_GB2312" w:cs="Times New Roman"/>
          <w:sz w:val="32"/>
          <w:szCs w:val="32"/>
        </w:rPr>
        <w:t>4.3</w:t>
      </w:r>
      <w:r>
        <w:rPr>
          <w:rFonts w:hint="eastAsia" w:eastAsia="仿宋_GB2312" w:cs="Times New Roman"/>
          <w:sz w:val="32"/>
          <w:szCs w:val="32"/>
        </w:rPr>
        <w:t>℃，</w:t>
      </w:r>
      <w:r>
        <w:rPr>
          <w:rFonts w:eastAsia="仿宋_GB2312" w:cs="Times New Roman"/>
          <w:sz w:val="32"/>
          <w:szCs w:val="32"/>
        </w:rPr>
        <w:t>7</w:t>
      </w:r>
      <w:r>
        <w:rPr>
          <w:rFonts w:hint="eastAsia" w:eastAsia="仿宋_GB2312" w:cs="Times New Roman"/>
          <w:sz w:val="32"/>
          <w:szCs w:val="32"/>
        </w:rPr>
        <w:t>月为最热月，平均气温</w:t>
      </w:r>
      <w:r>
        <w:rPr>
          <w:rFonts w:eastAsia="仿宋_GB2312" w:cs="Times New Roman"/>
          <w:sz w:val="32"/>
          <w:szCs w:val="32"/>
        </w:rPr>
        <w:t>26.7</w:t>
      </w:r>
      <w:r>
        <w:rPr>
          <w:rFonts w:hint="eastAsia" w:eastAsia="仿宋_GB2312" w:cs="Times New Roman"/>
          <w:sz w:val="32"/>
          <w:szCs w:val="32"/>
        </w:rPr>
        <w:t>℃；历年平均气温最高为</w:t>
      </w:r>
      <w:r>
        <w:rPr>
          <w:rFonts w:eastAsia="仿宋_GB2312" w:cs="Times New Roman"/>
          <w:sz w:val="32"/>
          <w:szCs w:val="32"/>
        </w:rPr>
        <w:t>18.5</w:t>
      </w:r>
      <w:r>
        <w:rPr>
          <w:rFonts w:hint="eastAsia" w:eastAsia="仿宋_GB2312" w:cs="Times New Roman"/>
          <w:sz w:val="32"/>
          <w:szCs w:val="32"/>
        </w:rPr>
        <w:t>℃，年极端最高为</w:t>
      </w:r>
      <w:r>
        <w:rPr>
          <w:rFonts w:eastAsia="仿宋_GB2312" w:cs="Times New Roman"/>
          <w:sz w:val="32"/>
          <w:szCs w:val="32"/>
        </w:rPr>
        <w:t>42.0</w:t>
      </w:r>
      <w:r>
        <w:rPr>
          <w:rFonts w:hint="eastAsia" w:eastAsia="仿宋_GB2312" w:cs="Times New Roman"/>
          <w:sz w:val="32"/>
          <w:szCs w:val="32"/>
        </w:rPr>
        <w:t>℃；年平均最低为</w:t>
      </w:r>
      <w:r>
        <w:rPr>
          <w:rFonts w:eastAsia="仿宋_GB2312" w:cs="Times New Roman"/>
          <w:sz w:val="32"/>
          <w:szCs w:val="32"/>
        </w:rPr>
        <w:t>6.6</w:t>
      </w:r>
      <w:r>
        <w:rPr>
          <w:rFonts w:hint="eastAsia" w:eastAsia="仿宋_GB2312" w:cs="Times New Roman"/>
          <w:sz w:val="32"/>
          <w:szCs w:val="32"/>
        </w:rPr>
        <w:t>℃，年极端最低为-</w:t>
      </w:r>
      <w:r>
        <w:rPr>
          <w:rFonts w:eastAsia="仿宋_GB2312" w:cs="Times New Roman"/>
          <w:sz w:val="32"/>
          <w:szCs w:val="32"/>
        </w:rPr>
        <w:t>25.1</w:t>
      </w:r>
      <w:r>
        <w:rPr>
          <w:rFonts w:hint="eastAsia" w:eastAsia="仿宋_GB2312" w:cs="Times New Roman"/>
          <w:sz w:val="32"/>
          <w:szCs w:val="32"/>
        </w:rPr>
        <w:t>℃。</w:t>
      </w:r>
      <w:r>
        <w:rPr>
          <w:rFonts w:eastAsia="仿宋_GB2312" w:cs="Times New Roman"/>
          <w:sz w:val="32"/>
          <w:szCs w:val="32"/>
        </w:rPr>
        <w:t>7</w:t>
      </w:r>
      <w:r>
        <w:rPr>
          <w:rFonts w:hint="eastAsia" w:eastAsia="仿宋_GB2312" w:cs="Times New Roman"/>
          <w:sz w:val="32"/>
          <w:szCs w:val="32"/>
        </w:rPr>
        <w:t>月份，平均气温为</w:t>
      </w:r>
      <w:r>
        <w:rPr>
          <w:rFonts w:eastAsia="仿宋_GB2312" w:cs="Times New Roman"/>
          <w:sz w:val="32"/>
          <w:szCs w:val="32"/>
        </w:rPr>
        <w:t>26.7</w:t>
      </w:r>
      <w:r>
        <w:rPr>
          <w:rFonts w:hint="eastAsia" w:eastAsia="仿宋_GB2312" w:cs="Times New Roman"/>
          <w:sz w:val="32"/>
          <w:szCs w:val="32"/>
        </w:rPr>
        <w:t>℃；无霜期较长。</w:t>
      </w:r>
    </w:p>
    <w:p>
      <w:pPr>
        <w:spacing w:line="590" w:lineRule="exact"/>
        <w:ind w:firstLine="640"/>
        <w:rPr>
          <w:rFonts w:eastAsia="仿宋_GB2312" w:cs="Times New Roman"/>
          <w:sz w:val="32"/>
          <w:szCs w:val="32"/>
        </w:rPr>
      </w:pPr>
      <w:r>
        <w:rPr>
          <w:rFonts w:hint="eastAsia" w:eastAsia="仿宋_GB2312" w:cs="Times New Roman"/>
          <w:sz w:val="32"/>
          <w:szCs w:val="32"/>
        </w:rPr>
        <w:t>年均日照时数为</w:t>
      </w:r>
      <w:r>
        <w:rPr>
          <w:rFonts w:eastAsia="仿宋_GB2312" w:cs="Times New Roman"/>
          <w:sz w:val="32"/>
          <w:szCs w:val="32"/>
        </w:rPr>
        <w:t>2765.3</w:t>
      </w:r>
      <w:r>
        <w:rPr>
          <w:rFonts w:hint="eastAsia" w:eastAsia="仿宋_GB2312" w:cs="Times New Roman"/>
          <w:sz w:val="32"/>
          <w:szCs w:val="32"/>
        </w:rPr>
        <w:t>小时。春季最多，为</w:t>
      </w:r>
      <w:r>
        <w:rPr>
          <w:rFonts w:eastAsia="仿宋_GB2312" w:cs="Times New Roman"/>
          <w:sz w:val="32"/>
          <w:szCs w:val="32"/>
        </w:rPr>
        <w:t>780.9</w:t>
      </w:r>
      <w:r>
        <w:rPr>
          <w:rFonts w:hint="eastAsia" w:eastAsia="仿宋_GB2312" w:cs="Times New Roman"/>
          <w:sz w:val="32"/>
          <w:szCs w:val="32"/>
        </w:rPr>
        <w:t>小时，冬季日照最少，为</w:t>
      </w:r>
      <w:r>
        <w:rPr>
          <w:rFonts w:eastAsia="仿宋_GB2312" w:cs="Times New Roman"/>
          <w:sz w:val="32"/>
          <w:szCs w:val="32"/>
        </w:rPr>
        <w:t>578.0</w:t>
      </w:r>
      <w:r>
        <w:rPr>
          <w:rFonts w:hint="eastAsia" w:eastAsia="仿宋_GB2312" w:cs="Times New Roman"/>
          <w:sz w:val="32"/>
          <w:szCs w:val="32"/>
        </w:rPr>
        <w:t>小时。一年中以</w:t>
      </w:r>
      <w:r>
        <w:rPr>
          <w:rFonts w:eastAsia="仿宋_GB2312" w:cs="Times New Roman"/>
          <w:sz w:val="32"/>
          <w:szCs w:val="32"/>
        </w:rPr>
        <w:t>11</w:t>
      </w:r>
      <w:r>
        <w:rPr>
          <w:rFonts w:hint="eastAsia" w:eastAsia="仿宋_GB2312" w:cs="Times New Roman"/>
          <w:sz w:val="32"/>
          <w:szCs w:val="32"/>
        </w:rPr>
        <w:t>月至次年</w:t>
      </w:r>
      <w:r>
        <w:rPr>
          <w:rFonts w:eastAsia="仿宋_GB2312" w:cs="Times New Roman"/>
          <w:sz w:val="32"/>
          <w:szCs w:val="32"/>
        </w:rPr>
        <w:t>2</w:t>
      </w:r>
      <w:r>
        <w:rPr>
          <w:rFonts w:hint="eastAsia" w:eastAsia="仿宋_GB2312" w:cs="Times New Roman"/>
          <w:sz w:val="32"/>
          <w:szCs w:val="32"/>
        </w:rPr>
        <w:t>月日照时数最少，各月不足</w:t>
      </w:r>
      <w:r>
        <w:rPr>
          <w:rFonts w:eastAsia="仿宋_GB2312" w:cs="Times New Roman"/>
          <w:sz w:val="32"/>
          <w:szCs w:val="32"/>
        </w:rPr>
        <w:t>200</w:t>
      </w:r>
      <w:r>
        <w:rPr>
          <w:rFonts w:hint="eastAsia" w:eastAsia="仿宋_GB2312" w:cs="Times New Roman"/>
          <w:sz w:val="32"/>
          <w:szCs w:val="32"/>
        </w:rPr>
        <w:t>小时；其他各月在</w:t>
      </w:r>
      <w:r>
        <w:rPr>
          <w:rFonts w:eastAsia="仿宋_GB2312" w:cs="Times New Roman"/>
          <w:sz w:val="32"/>
          <w:szCs w:val="32"/>
        </w:rPr>
        <w:t>200</w:t>
      </w:r>
      <w:r>
        <w:rPr>
          <w:rFonts w:hint="eastAsia" w:eastAsia="仿宋_GB2312" w:cs="Times New Roman"/>
          <w:sz w:val="32"/>
          <w:szCs w:val="32"/>
        </w:rPr>
        <w:t>—</w:t>
      </w:r>
      <w:r>
        <w:rPr>
          <w:rFonts w:eastAsia="仿宋_GB2312" w:cs="Times New Roman"/>
          <w:sz w:val="32"/>
          <w:szCs w:val="32"/>
        </w:rPr>
        <w:t>290</w:t>
      </w:r>
      <w:r>
        <w:rPr>
          <w:rFonts w:hint="eastAsia" w:eastAsia="仿宋_GB2312" w:cs="Times New Roman"/>
          <w:sz w:val="32"/>
          <w:szCs w:val="32"/>
        </w:rPr>
        <w:t>小时之间，以</w:t>
      </w:r>
      <w:r>
        <w:rPr>
          <w:rFonts w:eastAsia="仿宋_GB2312" w:cs="Times New Roman"/>
          <w:sz w:val="32"/>
          <w:szCs w:val="32"/>
        </w:rPr>
        <w:t>5</w:t>
      </w:r>
      <w:r>
        <w:rPr>
          <w:rFonts w:hint="eastAsia" w:eastAsia="仿宋_GB2312" w:cs="Times New Roman"/>
          <w:sz w:val="32"/>
          <w:szCs w:val="32"/>
        </w:rPr>
        <w:t>月最多，为</w:t>
      </w:r>
      <w:r>
        <w:rPr>
          <w:rFonts w:eastAsia="仿宋_GB2312" w:cs="Times New Roman"/>
          <w:sz w:val="32"/>
          <w:szCs w:val="32"/>
        </w:rPr>
        <w:t>288.3</w:t>
      </w:r>
      <w:r>
        <w:rPr>
          <w:rFonts w:hint="eastAsia" w:eastAsia="仿宋_GB2312" w:cs="Times New Roman"/>
          <w:sz w:val="32"/>
          <w:szCs w:val="32"/>
        </w:rPr>
        <w:t>小时。</w:t>
      </w:r>
    </w:p>
    <w:p>
      <w:pPr>
        <w:spacing w:line="590" w:lineRule="exact"/>
        <w:ind w:firstLine="640"/>
        <w:rPr>
          <w:rFonts w:eastAsia="仿宋_GB2312" w:cs="Times New Roman"/>
          <w:sz w:val="32"/>
          <w:szCs w:val="32"/>
        </w:rPr>
      </w:pPr>
      <w:r>
        <w:rPr>
          <w:rFonts w:hint="eastAsia" w:eastAsia="仿宋_GB2312" w:cs="Times New Roman"/>
          <w:sz w:val="32"/>
          <w:szCs w:val="32"/>
        </w:rPr>
        <w:t>常年平均降水量为</w:t>
      </w:r>
      <w:r>
        <w:rPr>
          <w:rFonts w:eastAsia="仿宋_GB2312" w:cs="Times New Roman"/>
          <w:sz w:val="32"/>
          <w:szCs w:val="32"/>
        </w:rPr>
        <w:t>554.9</w:t>
      </w:r>
      <w:r>
        <w:rPr>
          <w:rFonts w:hint="eastAsia" w:eastAsia="仿宋_GB2312" w:cs="Times New Roman"/>
          <w:sz w:val="32"/>
          <w:szCs w:val="32"/>
        </w:rPr>
        <w:t>毫米左右，历年最多年为</w:t>
      </w:r>
      <w:r>
        <w:rPr>
          <w:rFonts w:eastAsia="仿宋_GB2312" w:cs="Times New Roman"/>
          <w:sz w:val="32"/>
          <w:szCs w:val="32"/>
        </w:rPr>
        <w:t>1114.3</w:t>
      </w:r>
      <w:r>
        <w:rPr>
          <w:rFonts w:hint="eastAsia" w:eastAsia="仿宋_GB2312" w:cs="Times New Roman"/>
          <w:sz w:val="32"/>
          <w:szCs w:val="32"/>
        </w:rPr>
        <w:t>毫米，最少年</w:t>
      </w:r>
      <w:r>
        <w:rPr>
          <w:rFonts w:eastAsia="仿宋_GB2312" w:cs="Times New Roman"/>
          <w:sz w:val="32"/>
          <w:szCs w:val="32"/>
        </w:rPr>
        <w:t>230.3</w:t>
      </w:r>
      <w:r>
        <w:rPr>
          <w:rFonts w:hint="eastAsia" w:eastAsia="仿宋_GB2312" w:cs="Times New Roman"/>
          <w:sz w:val="32"/>
          <w:szCs w:val="32"/>
        </w:rPr>
        <w:t>毫米，年际差达</w:t>
      </w:r>
      <w:r>
        <w:rPr>
          <w:rFonts w:eastAsia="仿宋_GB2312" w:cs="Times New Roman"/>
          <w:sz w:val="32"/>
          <w:szCs w:val="32"/>
        </w:rPr>
        <w:t>884.0</w:t>
      </w:r>
      <w:r>
        <w:rPr>
          <w:rFonts w:hint="eastAsia" w:eastAsia="仿宋_GB2312" w:cs="Times New Roman"/>
          <w:sz w:val="32"/>
          <w:szCs w:val="32"/>
        </w:rPr>
        <w:t>毫米。降水季节分布不均，多集中在夏季，平均总量</w:t>
      </w:r>
      <w:r>
        <w:rPr>
          <w:rFonts w:eastAsia="仿宋_GB2312" w:cs="Times New Roman"/>
          <w:sz w:val="32"/>
          <w:szCs w:val="32"/>
        </w:rPr>
        <w:t>409.6</w:t>
      </w:r>
      <w:r>
        <w:rPr>
          <w:rFonts w:hint="eastAsia" w:eastAsia="仿宋_GB2312" w:cs="Times New Roman"/>
          <w:sz w:val="32"/>
          <w:szCs w:val="32"/>
        </w:rPr>
        <w:t>毫米，</w:t>
      </w:r>
      <w:r>
        <w:rPr>
          <w:rFonts w:eastAsia="仿宋_GB2312" w:cs="Times New Roman"/>
          <w:sz w:val="32"/>
          <w:szCs w:val="32"/>
        </w:rPr>
        <w:t>6</w:t>
      </w: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三个月降水量一般可达全年总降水量的</w:t>
      </w:r>
      <w:r>
        <w:rPr>
          <w:rFonts w:eastAsia="仿宋_GB2312" w:cs="Times New Roman"/>
          <w:sz w:val="32"/>
          <w:szCs w:val="32"/>
        </w:rPr>
        <w:t>70%</w:t>
      </w:r>
      <w:r>
        <w:rPr>
          <w:rFonts w:hint="eastAsia" w:eastAsia="仿宋_GB2312" w:cs="Times New Roman"/>
          <w:sz w:val="32"/>
          <w:szCs w:val="32"/>
        </w:rPr>
        <w:t>—</w:t>
      </w:r>
      <w:r>
        <w:rPr>
          <w:rFonts w:eastAsia="仿宋_GB2312" w:cs="Times New Roman"/>
          <w:sz w:val="32"/>
          <w:szCs w:val="32"/>
        </w:rPr>
        <w:t>80%</w:t>
      </w:r>
      <w:r>
        <w:rPr>
          <w:rFonts w:hint="eastAsia" w:eastAsia="仿宋_GB2312" w:cs="Times New Roman"/>
          <w:sz w:val="32"/>
          <w:szCs w:val="32"/>
        </w:rPr>
        <w:t>。年平均蒸发量</w:t>
      </w:r>
      <w:r>
        <w:rPr>
          <w:rFonts w:eastAsia="仿宋_GB2312" w:cs="Times New Roman"/>
          <w:sz w:val="32"/>
          <w:szCs w:val="32"/>
        </w:rPr>
        <w:t>1100</w:t>
      </w:r>
      <w:r>
        <w:rPr>
          <w:rFonts w:hint="eastAsia" w:eastAsia="仿宋_GB2312" w:cs="Times New Roman"/>
          <w:sz w:val="32"/>
          <w:szCs w:val="32"/>
        </w:rPr>
        <w:t>毫米。</w:t>
      </w:r>
    </w:p>
    <w:p>
      <w:pPr>
        <w:pStyle w:val="3"/>
        <w:spacing w:line="590" w:lineRule="exact"/>
        <w:ind w:firstLine="643"/>
        <w:rPr>
          <w:rFonts w:eastAsia="楷体_GB2312"/>
        </w:rPr>
      </w:pPr>
      <w:bookmarkStart w:id="178" w:name="_Toc25777"/>
      <w:bookmarkStart w:id="179" w:name="_Toc7052"/>
      <w:r>
        <w:rPr>
          <w:rFonts w:eastAsia="楷体_GB2312"/>
        </w:rPr>
        <w:t>2.4</w:t>
      </w:r>
      <w:bookmarkEnd w:id="178"/>
      <w:r>
        <w:rPr>
          <w:rFonts w:hint="eastAsia" w:eastAsia="楷体_GB2312"/>
        </w:rPr>
        <w:t>水系概况</w:t>
      </w:r>
      <w:bookmarkEnd w:id="179"/>
    </w:p>
    <w:p>
      <w:pPr>
        <w:pStyle w:val="4"/>
        <w:spacing w:line="590" w:lineRule="exact"/>
        <w:ind w:firstLine="643"/>
      </w:pPr>
      <w:bookmarkStart w:id="180" w:name="_Toc14281"/>
      <w:r>
        <w:t>2.4.1</w:t>
      </w:r>
      <w:r>
        <w:rPr>
          <w:rFonts w:hint="eastAsia"/>
        </w:rPr>
        <w:t>大清河</w:t>
      </w:r>
      <w:bookmarkEnd w:id="180"/>
    </w:p>
    <w:p>
      <w:pPr>
        <w:spacing w:line="590" w:lineRule="exact"/>
        <w:ind w:firstLine="640"/>
        <w:rPr>
          <w:rFonts w:eastAsia="仿宋_GB2312" w:cs="Times New Roman"/>
          <w:sz w:val="32"/>
          <w:szCs w:val="32"/>
        </w:rPr>
      </w:pPr>
      <w:r>
        <w:rPr>
          <w:rFonts w:hint="eastAsia" w:eastAsia="仿宋_GB2312" w:cs="Times New Roman"/>
          <w:sz w:val="32"/>
          <w:szCs w:val="32"/>
        </w:rPr>
        <w:t>大清河（文安和霸州段）为文安县和霸州市过境河流，地处海河水系下游，地近渤海，历史上处于东淀（三角淀）、西淀（白洋淀）之间，主干河段分别由老大清河、赵王新河和下段原赵王新渠组成。赵王新河在文安县西码头蓄水闸东流入大清河后成为东淀大清河，并与霸州市五个乡镇凹凸交叉，经文安县九个乡镇，从安里屯流入天津境内。该河段在文安县境内全长</w:t>
      </w:r>
      <w:r>
        <w:rPr>
          <w:rFonts w:eastAsia="仿宋_GB2312" w:cs="Times New Roman"/>
          <w:sz w:val="32"/>
          <w:szCs w:val="32"/>
        </w:rPr>
        <w:t>50</w:t>
      </w:r>
      <w:r>
        <w:rPr>
          <w:rFonts w:hint="eastAsia" w:eastAsia="仿宋_GB2312" w:cs="Times New Roman"/>
          <w:sz w:val="32"/>
          <w:szCs w:val="32"/>
        </w:rPr>
        <w:t>公里，在霸州市境内</w:t>
      </w:r>
      <w:r>
        <w:rPr>
          <w:rFonts w:eastAsia="仿宋_GB2312" w:cs="Times New Roman"/>
          <w:sz w:val="32"/>
          <w:szCs w:val="32"/>
        </w:rPr>
        <w:t>6</w:t>
      </w:r>
      <w:r>
        <w:rPr>
          <w:rFonts w:hint="eastAsia" w:eastAsia="仿宋_GB2312" w:cs="Times New Roman"/>
          <w:sz w:val="32"/>
          <w:szCs w:val="32"/>
        </w:rPr>
        <w:t>公里，其中王圪垯段约</w:t>
      </w:r>
      <w:r>
        <w:rPr>
          <w:rFonts w:eastAsia="仿宋_GB2312" w:cs="Times New Roman"/>
          <w:sz w:val="32"/>
          <w:szCs w:val="32"/>
        </w:rPr>
        <w:t>4</w:t>
      </w:r>
      <w:r>
        <w:rPr>
          <w:rFonts w:hint="eastAsia" w:eastAsia="仿宋_GB2312" w:cs="Times New Roman"/>
          <w:sz w:val="32"/>
          <w:szCs w:val="32"/>
        </w:rPr>
        <w:t>公里，胜芳段约</w:t>
      </w:r>
      <w:r>
        <w:rPr>
          <w:rFonts w:eastAsia="仿宋_GB2312" w:cs="Times New Roman"/>
          <w:sz w:val="32"/>
          <w:szCs w:val="32"/>
        </w:rPr>
        <w:t>2</w:t>
      </w:r>
      <w:r>
        <w:rPr>
          <w:rFonts w:hint="eastAsia" w:eastAsia="仿宋_GB2312" w:cs="Times New Roman"/>
          <w:sz w:val="32"/>
          <w:szCs w:val="32"/>
        </w:rPr>
        <w:t>公里。大清河上游连接水体是白洋淀，已多年未向下游大清河输水，</w:t>
      </w:r>
      <w:r>
        <w:rPr>
          <w:rFonts w:eastAsia="仿宋_GB2312" w:cs="Times New Roman"/>
          <w:sz w:val="32"/>
          <w:szCs w:val="32"/>
        </w:rPr>
        <w:t>2018</w:t>
      </w:r>
      <w:r>
        <w:rPr>
          <w:rFonts w:hint="eastAsia" w:eastAsia="仿宋_GB2312" w:cs="Times New Roman"/>
          <w:sz w:val="32"/>
          <w:szCs w:val="32"/>
        </w:rPr>
        <w:t>年</w:t>
      </w:r>
      <w:r>
        <w:rPr>
          <w:rFonts w:eastAsia="仿宋_GB2312" w:cs="Times New Roman"/>
          <w:sz w:val="32"/>
          <w:szCs w:val="32"/>
        </w:rPr>
        <w:t>7</w:t>
      </w:r>
      <w:r>
        <w:rPr>
          <w:rFonts w:hint="eastAsia" w:eastAsia="仿宋_GB2312" w:cs="Times New Roman"/>
          <w:sz w:val="32"/>
          <w:szCs w:val="32"/>
        </w:rPr>
        <w:t>月上游白洋淀曾向下游大清河放水，目前大清河内河水主要是</w:t>
      </w:r>
      <w:r>
        <w:rPr>
          <w:rFonts w:eastAsia="仿宋_GB2312" w:cs="Times New Roman"/>
          <w:sz w:val="32"/>
          <w:szCs w:val="32"/>
        </w:rPr>
        <w:t>2018</w:t>
      </w:r>
      <w:r>
        <w:rPr>
          <w:rFonts w:hint="eastAsia" w:eastAsia="仿宋_GB2312" w:cs="Times New Roman"/>
          <w:sz w:val="32"/>
          <w:szCs w:val="32"/>
        </w:rPr>
        <w:t>年白洋淀排泄的水量。</w:t>
      </w:r>
    </w:p>
    <w:p>
      <w:pPr>
        <w:spacing w:line="590" w:lineRule="exact"/>
        <w:ind w:firstLine="640"/>
        <w:rPr>
          <w:rFonts w:eastAsia="仿宋_GB2312" w:cs="Times New Roman"/>
          <w:sz w:val="32"/>
          <w:szCs w:val="32"/>
        </w:rPr>
      </w:pPr>
      <w:r>
        <w:rPr>
          <w:rFonts w:hint="eastAsia" w:eastAsia="仿宋_GB2312" w:cs="Times New Roman"/>
          <w:sz w:val="32"/>
          <w:szCs w:val="32"/>
        </w:rPr>
        <w:t>赵王新河和赵王新渠分别于</w:t>
      </w:r>
      <w:r>
        <w:rPr>
          <w:rFonts w:eastAsia="仿宋_GB2312" w:cs="Times New Roman"/>
          <w:sz w:val="32"/>
          <w:szCs w:val="32"/>
        </w:rPr>
        <w:t>1969</w:t>
      </w:r>
      <w:r>
        <w:rPr>
          <w:rFonts w:hint="eastAsia" w:eastAsia="仿宋_GB2312" w:cs="Times New Roman"/>
          <w:sz w:val="32"/>
          <w:szCs w:val="32"/>
        </w:rPr>
        <w:t>—</w:t>
      </w:r>
      <w:r>
        <w:rPr>
          <w:rFonts w:eastAsia="仿宋_GB2312" w:cs="Times New Roman"/>
          <w:sz w:val="32"/>
          <w:szCs w:val="32"/>
        </w:rPr>
        <w:t>1970</w:t>
      </w:r>
      <w:r>
        <w:rPr>
          <w:rFonts w:hint="eastAsia" w:eastAsia="仿宋_GB2312" w:cs="Times New Roman"/>
          <w:sz w:val="32"/>
          <w:szCs w:val="32"/>
        </w:rPr>
        <w:t>年开挖和扩挖而成，设计流量</w:t>
      </w:r>
      <w:r>
        <w:rPr>
          <w:rFonts w:eastAsia="仿宋_GB2312" w:cs="Times New Roman"/>
          <w:sz w:val="32"/>
          <w:szCs w:val="32"/>
        </w:rPr>
        <w:t>2700</w:t>
      </w:r>
      <w:r>
        <w:rPr>
          <w:rFonts w:hint="eastAsia" w:eastAsia="仿宋_GB2312" w:cs="Times New Roman"/>
          <w:sz w:val="32"/>
          <w:szCs w:val="32"/>
        </w:rPr>
        <w:t>立方米/秒，主要功能是承载白洋淀经白草洼的下泄洪水。原是季节性灌溉输水渠，自</w:t>
      </w:r>
      <w:r>
        <w:rPr>
          <w:rFonts w:eastAsia="仿宋_GB2312" w:cs="Times New Roman"/>
          <w:sz w:val="32"/>
          <w:szCs w:val="32"/>
        </w:rPr>
        <w:t>2009</w:t>
      </w:r>
      <w:r>
        <w:rPr>
          <w:rFonts w:hint="eastAsia" w:eastAsia="仿宋_GB2312" w:cs="Times New Roman"/>
          <w:sz w:val="32"/>
          <w:szCs w:val="32"/>
        </w:rPr>
        <w:t>年引黄蓄水后重新焕发生机，堤岸翠柳依依，水面蒲草丛生，河平风顺，自然景观优美。</w:t>
      </w:r>
    </w:p>
    <w:p>
      <w:pPr>
        <w:spacing w:after="221" w:afterLines="50" w:line="590" w:lineRule="exact"/>
        <w:ind w:firstLine="640"/>
        <w:rPr>
          <w:rFonts w:eastAsia="仿宋_GB2312" w:cs="Times New Roman"/>
          <w:sz w:val="32"/>
          <w:szCs w:val="32"/>
        </w:rPr>
      </w:pPr>
      <w:r>
        <w:rPr>
          <w:rFonts w:hint="eastAsia" w:eastAsia="仿宋_GB2312" w:cs="Times New Roman"/>
          <w:sz w:val="32"/>
          <w:szCs w:val="32"/>
        </w:rPr>
        <w:t>霸州市境内中亭河为大清河主要支流，中亭河上游有雄固霸新河、牤牛河等两条季节性河流汇入，中亭河在胜芳镇通过石沟干渠与大清河相连接，通过石沟扬水站往大清河排水。</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4685030" cy="3637915"/>
            <wp:effectExtent l="0" t="0" r="1270" b="635"/>
            <wp:docPr id="7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1"/>
                    <pic:cNvPicPr>
                      <a:picLocks noChangeAspect="1"/>
                    </pic:cNvPicPr>
                  </pic:nvPicPr>
                  <pic:blipFill>
                    <a:blip r:embed="rId72"/>
                    <a:stretch>
                      <a:fillRect/>
                    </a:stretch>
                  </pic:blipFill>
                  <pic:spPr>
                    <a:xfrm>
                      <a:off x="0" y="0"/>
                      <a:ext cx="4685030" cy="3637915"/>
                    </a:xfrm>
                    <a:prstGeom prst="rect">
                      <a:avLst/>
                    </a:prstGeom>
                    <a:noFill/>
                    <a:ln w="9525">
                      <a:noFill/>
                    </a:ln>
                  </pic:spPr>
                </pic:pic>
              </a:graphicData>
            </a:graphic>
          </wp:inline>
        </w:drawing>
      </w:r>
    </w:p>
    <w:p>
      <w:pPr>
        <w:pStyle w:val="5"/>
        <w:spacing w:before="132" w:beforeLines="30" w:after="132" w:afterLines="3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2</w:t>
      </w:r>
      <w:r>
        <w:rPr>
          <w:rFonts w:hint="eastAsia" w:eastAsia="仿宋_GB2312"/>
          <w:sz w:val="32"/>
          <w:szCs w:val="32"/>
        </w:rPr>
        <w:t>-</w:t>
      </w:r>
      <w:r>
        <w:rPr>
          <w:rFonts w:ascii="Times New Roman" w:hAnsi="Times New Roman" w:eastAsia="仿宋_GB2312"/>
          <w:b/>
          <w:sz w:val="24"/>
          <w:szCs w:val="24"/>
        </w:rPr>
        <w:t>2</w:t>
      </w:r>
      <w:r>
        <w:rPr>
          <w:rFonts w:hint="eastAsia" w:ascii="Times New Roman" w:hAnsi="Times New Roman" w:eastAsia="仿宋_GB2312"/>
          <w:b/>
          <w:sz w:val="24"/>
          <w:szCs w:val="24"/>
        </w:rPr>
        <w:t>　大清河水系图</w:t>
      </w:r>
    </w:p>
    <w:p>
      <w:pPr>
        <w:pStyle w:val="4"/>
        <w:spacing w:line="590" w:lineRule="exact"/>
        <w:ind w:firstLine="643"/>
        <w:rPr>
          <w:szCs w:val="28"/>
        </w:rPr>
      </w:pPr>
      <w:bookmarkStart w:id="181" w:name="_Toc15472"/>
      <w:bookmarkStart w:id="182" w:name="_Toc1485"/>
      <w:r>
        <w:rPr>
          <w:szCs w:val="28"/>
        </w:rPr>
        <w:t>2.4.2</w:t>
      </w:r>
      <w:r>
        <w:rPr>
          <w:rFonts w:hint="eastAsia"/>
          <w:szCs w:val="28"/>
        </w:rPr>
        <w:t>主要排干渠</w:t>
      </w:r>
      <w:bookmarkEnd w:id="181"/>
      <w:bookmarkEnd w:id="182"/>
    </w:p>
    <w:p>
      <w:pPr>
        <w:spacing w:line="590" w:lineRule="exact"/>
        <w:ind w:firstLine="640"/>
        <w:rPr>
          <w:rFonts w:eastAsia="仿宋_GB2312" w:cs="Times New Roman"/>
          <w:sz w:val="32"/>
          <w:szCs w:val="32"/>
        </w:rPr>
      </w:pPr>
      <w:r>
        <w:rPr>
          <w:rFonts w:hint="eastAsia" w:eastAsia="仿宋_GB2312" w:cs="Times New Roman"/>
          <w:sz w:val="32"/>
          <w:szCs w:val="32"/>
        </w:rPr>
        <w:t>大清河流域内排干渠主要有五条，分别为董西干渠、十马干渠、滩里干渠、石沟干渠和富管营村东水渠，除石沟干渠主要位于霸州市境内，其他四条排干渠均分布在文安县境内。原达标方案中的文安县文毕干渠已经永久封堵，与大清河不再连通。</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）董西干渠</w:t>
      </w:r>
    </w:p>
    <w:p>
      <w:pPr>
        <w:spacing w:line="590" w:lineRule="exact"/>
        <w:ind w:firstLine="640"/>
        <w:rPr>
          <w:rFonts w:eastAsia="仿宋_GB2312" w:cs="Times New Roman"/>
          <w:sz w:val="32"/>
          <w:szCs w:val="32"/>
        </w:rPr>
      </w:pPr>
      <w:r>
        <w:rPr>
          <w:rFonts w:hint="eastAsia" w:eastAsia="仿宋_GB2312" w:cs="Times New Roman"/>
          <w:sz w:val="32"/>
          <w:szCs w:val="32"/>
        </w:rPr>
        <w:t>南起董各庄村北，接排干二渠，北至西参码头扬水站，长</w:t>
      </w:r>
      <w:r>
        <w:rPr>
          <w:rFonts w:eastAsia="仿宋_GB2312" w:cs="Times New Roman"/>
          <w:sz w:val="32"/>
          <w:szCs w:val="32"/>
        </w:rPr>
        <w:t>8679</w:t>
      </w:r>
      <w:r>
        <w:rPr>
          <w:rFonts w:hint="eastAsia" w:eastAsia="仿宋_GB2312" w:cs="Times New Roman"/>
          <w:sz w:val="32"/>
          <w:szCs w:val="32"/>
        </w:rPr>
        <w:t>米，属西码头扬水站配套工程。</w:t>
      </w:r>
    </w:p>
    <w:p>
      <w:pPr>
        <w:spacing w:line="590" w:lineRule="exact"/>
        <w:ind w:firstLine="640"/>
        <w:rPr>
          <w:rFonts w:eastAsia="仿宋_GB2312" w:cs="Times New Roman"/>
          <w:sz w:val="32"/>
          <w:szCs w:val="32"/>
        </w:rPr>
      </w:pPr>
      <w:r>
        <w:rPr>
          <w:rFonts w:eastAsia="仿宋_GB2312" w:cs="Times New Roman"/>
          <w:sz w:val="32"/>
          <w:szCs w:val="32"/>
        </w:rPr>
        <w:t>1959</w:t>
      </w:r>
      <w:r>
        <w:rPr>
          <w:rFonts w:hint="eastAsia" w:eastAsia="仿宋_GB2312" w:cs="Times New Roman"/>
          <w:sz w:val="32"/>
          <w:szCs w:val="32"/>
        </w:rPr>
        <w:t>年开挖西西排碱沟，南起西柳河，接薛界支渠；北至西码头，在南庄附近通陶蚧支渠，至左各庄扬水站。排碱沟全长</w:t>
      </w:r>
      <w:r>
        <w:rPr>
          <w:rFonts w:eastAsia="仿宋_GB2312" w:cs="Times New Roman"/>
          <w:sz w:val="32"/>
          <w:szCs w:val="32"/>
        </w:rPr>
        <w:t>4000</w:t>
      </w:r>
      <w:r>
        <w:rPr>
          <w:rFonts w:hint="eastAsia" w:eastAsia="仿宋_GB2312" w:cs="Times New Roman"/>
          <w:sz w:val="32"/>
          <w:szCs w:val="32"/>
        </w:rPr>
        <w:t>米，底宽</w:t>
      </w:r>
      <w:r>
        <w:rPr>
          <w:rFonts w:eastAsia="仿宋_GB2312" w:cs="Times New Roman"/>
          <w:sz w:val="32"/>
          <w:szCs w:val="32"/>
        </w:rPr>
        <w:t>2</w:t>
      </w:r>
      <w:r>
        <w:rPr>
          <w:rFonts w:hint="eastAsia" w:eastAsia="仿宋_GB2312" w:cs="Times New Roman"/>
          <w:sz w:val="32"/>
          <w:szCs w:val="32"/>
        </w:rPr>
        <w:t>米，挖深</w:t>
      </w:r>
      <w:r>
        <w:rPr>
          <w:rFonts w:eastAsia="仿宋_GB2312" w:cs="Times New Roman"/>
          <w:sz w:val="32"/>
          <w:szCs w:val="32"/>
        </w:rPr>
        <w:t>2</w:t>
      </w:r>
      <w:r>
        <w:rPr>
          <w:rFonts w:hint="eastAsia" w:eastAsia="仿宋_GB2312" w:cs="Times New Roman"/>
          <w:sz w:val="32"/>
          <w:szCs w:val="32"/>
        </w:rPr>
        <w:t>米，边坡</w:t>
      </w:r>
      <w:r>
        <w:rPr>
          <w:rFonts w:eastAsia="仿宋_GB2312" w:cs="Times New Roman"/>
          <w:sz w:val="32"/>
          <w:szCs w:val="32"/>
        </w:rPr>
        <w:t>1:1.5</w:t>
      </w:r>
      <w:r>
        <w:rPr>
          <w:rFonts w:hint="eastAsia" w:eastAsia="仿宋_GB2312" w:cs="Times New Roman"/>
          <w:sz w:val="32"/>
          <w:szCs w:val="32"/>
        </w:rPr>
        <w:t>。</w:t>
      </w:r>
    </w:p>
    <w:p>
      <w:pPr>
        <w:spacing w:line="590" w:lineRule="exact"/>
        <w:ind w:firstLine="640"/>
        <w:rPr>
          <w:rFonts w:eastAsia="仿宋_GB2312" w:cs="Times New Roman"/>
          <w:sz w:val="32"/>
          <w:szCs w:val="32"/>
        </w:rPr>
      </w:pPr>
      <w:r>
        <w:rPr>
          <w:rFonts w:eastAsia="仿宋_GB2312" w:cs="Times New Roman"/>
          <w:sz w:val="32"/>
          <w:szCs w:val="32"/>
        </w:rPr>
        <w:t>1970</w:t>
      </w:r>
      <w:r>
        <w:rPr>
          <w:rFonts w:hint="eastAsia" w:eastAsia="仿宋_GB2312" w:cs="Times New Roman"/>
          <w:sz w:val="32"/>
          <w:szCs w:val="32"/>
        </w:rPr>
        <w:t>年建西码头排碱站，配套扩挖西西排碱沟为西西干渠，设计流量</w:t>
      </w:r>
      <w:r>
        <w:rPr>
          <w:rFonts w:eastAsia="仿宋_GB2312" w:cs="Times New Roman"/>
          <w:sz w:val="32"/>
          <w:szCs w:val="32"/>
        </w:rPr>
        <w:t>7</w:t>
      </w:r>
      <w:r>
        <w:rPr>
          <w:rFonts w:hint="eastAsia" w:eastAsia="仿宋_GB2312" w:cs="Times New Roman"/>
          <w:sz w:val="32"/>
          <w:szCs w:val="32"/>
        </w:rPr>
        <w:t>立方米</w:t>
      </w:r>
      <w:r>
        <w:rPr>
          <w:rFonts w:eastAsia="仿宋_GB2312" w:cs="Times New Roman"/>
          <w:sz w:val="32"/>
          <w:szCs w:val="32"/>
        </w:rPr>
        <w:t>/</w:t>
      </w:r>
      <w:r>
        <w:rPr>
          <w:rFonts w:hint="eastAsia" w:eastAsia="仿宋_GB2312" w:cs="Times New Roman"/>
          <w:sz w:val="32"/>
          <w:szCs w:val="32"/>
        </w:rPr>
        <w:t>秒，底宽</w:t>
      </w:r>
      <w:r>
        <w:rPr>
          <w:rFonts w:eastAsia="仿宋_GB2312" w:cs="Times New Roman"/>
          <w:sz w:val="32"/>
          <w:szCs w:val="32"/>
        </w:rPr>
        <w:t>4</w:t>
      </w: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米，边坡</w:t>
      </w:r>
      <w:r>
        <w:rPr>
          <w:rFonts w:eastAsia="仿宋_GB2312" w:cs="Times New Roman"/>
          <w:sz w:val="32"/>
          <w:szCs w:val="32"/>
        </w:rPr>
        <w:t>1:2</w:t>
      </w:r>
      <w:r>
        <w:rPr>
          <w:rFonts w:hint="eastAsia" w:eastAsia="仿宋_GB2312" w:cs="Times New Roman"/>
          <w:sz w:val="32"/>
          <w:szCs w:val="32"/>
        </w:rPr>
        <w:t>，挖深</w:t>
      </w:r>
      <w:r>
        <w:rPr>
          <w:rFonts w:eastAsia="仿宋_GB2312" w:cs="Times New Roman"/>
          <w:sz w:val="32"/>
          <w:szCs w:val="32"/>
        </w:rPr>
        <w:t>2</w:t>
      </w:r>
      <w:r>
        <w:rPr>
          <w:rFonts w:hint="eastAsia" w:eastAsia="仿宋_GB2312" w:cs="Times New Roman"/>
          <w:sz w:val="32"/>
          <w:szCs w:val="32"/>
        </w:rPr>
        <w:t>～</w:t>
      </w:r>
      <w:r>
        <w:rPr>
          <w:rFonts w:eastAsia="仿宋_GB2312" w:cs="Times New Roman"/>
          <w:sz w:val="32"/>
          <w:szCs w:val="32"/>
        </w:rPr>
        <w:t>2.5</w:t>
      </w:r>
      <w:r>
        <w:rPr>
          <w:rFonts w:hint="eastAsia" w:eastAsia="仿宋_GB2312" w:cs="Times New Roman"/>
          <w:sz w:val="32"/>
          <w:szCs w:val="32"/>
        </w:rPr>
        <w:t>米。</w:t>
      </w:r>
    </w:p>
    <w:p>
      <w:pPr>
        <w:spacing w:line="590" w:lineRule="exact"/>
        <w:ind w:firstLine="624"/>
        <w:rPr>
          <w:rFonts w:eastAsia="仿宋_GB2312" w:cs="Times New Roman"/>
          <w:spacing w:val="-4"/>
          <w:sz w:val="32"/>
          <w:szCs w:val="32"/>
        </w:rPr>
      </w:pPr>
      <w:r>
        <w:rPr>
          <w:rFonts w:eastAsia="仿宋_GB2312" w:cs="Times New Roman"/>
          <w:spacing w:val="-4"/>
          <w:sz w:val="32"/>
          <w:szCs w:val="32"/>
        </w:rPr>
        <w:t>1978</w:t>
      </w:r>
      <w:r>
        <w:rPr>
          <w:rFonts w:hint="eastAsia" w:eastAsia="仿宋_GB2312" w:cs="Times New Roman"/>
          <w:spacing w:val="-4"/>
          <w:sz w:val="32"/>
          <w:szCs w:val="32"/>
        </w:rPr>
        <w:t>年扩建西码头扬水站后，将西西干渠扩挖浚深，并向南延伸至董各庄村北与排干二渠相通，改名董西干渠。竣工后渠底宽</w:t>
      </w:r>
      <w:r>
        <w:rPr>
          <w:rFonts w:eastAsia="仿宋_GB2312" w:cs="Times New Roman"/>
          <w:spacing w:val="-4"/>
          <w:sz w:val="32"/>
          <w:szCs w:val="32"/>
        </w:rPr>
        <w:t>28</w:t>
      </w:r>
      <w:r>
        <w:rPr>
          <w:rFonts w:hint="eastAsia" w:eastAsia="仿宋_GB2312" w:cs="Times New Roman"/>
          <w:spacing w:val="-4"/>
          <w:sz w:val="32"/>
          <w:szCs w:val="32"/>
        </w:rPr>
        <w:t>米，边坡</w:t>
      </w:r>
      <w:r>
        <w:rPr>
          <w:rFonts w:eastAsia="仿宋_GB2312" w:cs="Times New Roman"/>
          <w:spacing w:val="-4"/>
          <w:sz w:val="32"/>
          <w:szCs w:val="32"/>
        </w:rPr>
        <w:t>1</w:t>
      </w:r>
      <w:r>
        <w:rPr>
          <w:rFonts w:hint="eastAsia" w:eastAsia="仿宋_GB2312" w:cs="Times New Roman"/>
          <w:spacing w:val="-4"/>
          <w:sz w:val="32"/>
          <w:szCs w:val="32"/>
        </w:rPr>
        <w:t>:</w:t>
      </w:r>
      <w:r>
        <w:rPr>
          <w:rFonts w:eastAsia="仿宋_GB2312" w:cs="Times New Roman"/>
          <w:spacing w:val="-4"/>
          <w:sz w:val="32"/>
          <w:szCs w:val="32"/>
        </w:rPr>
        <w:t>2.5</w:t>
      </w:r>
      <w:r>
        <w:rPr>
          <w:rFonts w:hint="eastAsia" w:eastAsia="仿宋_GB2312" w:cs="Times New Roman"/>
          <w:spacing w:val="-4"/>
          <w:sz w:val="32"/>
          <w:szCs w:val="32"/>
        </w:rPr>
        <w:t>，底高程</w:t>
      </w:r>
      <w:r>
        <w:rPr>
          <w:rFonts w:eastAsia="仿宋_GB2312" w:cs="Times New Roman"/>
          <w:spacing w:val="-4"/>
          <w:sz w:val="32"/>
          <w:szCs w:val="32"/>
        </w:rPr>
        <w:t>0.0</w:t>
      </w:r>
      <w:r>
        <w:rPr>
          <w:rFonts w:hint="eastAsia" w:eastAsia="仿宋_GB2312" w:cs="Times New Roman"/>
          <w:spacing w:val="-4"/>
          <w:sz w:val="32"/>
          <w:szCs w:val="32"/>
        </w:rPr>
        <w:t>米，过水能力</w:t>
      </w:r>
      <w:r>
        <w:rPr>
          <w:rFonts w:eastAsia="仿宋_GB2312" w:cs="Times New Roman"/>
          <w:spacing w:val="-4"/>
          <w:sz w:val="32"/>
          <w:szCs w:val="32"/>
        </w:rPr>
        <w:t>60</w:t>
      </w:r>
      <w:r>
        <w:rPr>
          <w:rFonts w:hint="eastAsia" w:eastAsia="仿宋_GB2312" w:cs="Times New Roman"/>
          <w:spacing w:val="-4"/>
          <w:sz w:val="32"/>
          <w:szCs w:val="32"/>
        </w:rPr>
        <w:t>立方米</w:t>
      </w:r>
      <w:r>
        <w:rPr>
          <w:rFonts w:eastAsia="仿宋_GB2312" w:cs="Times New Roman"/>
          <w:spacing w:val="-4"/>
          <w:sz w:val="32"/>
          <w:szCs w:val="32"/>
        </w:rPr>
        <w:t>/</w:t>
      </w:r>
      <w:r>
        <w:rPr>
          <w:rFonts w:hint="eastAsia" w:eastAsia="仿宋_GB2312" w:cs="Times New Roman"/>
          <w:spacing w:val="-4"/>
          <w:sz w:val="32"/>
          <w:szCs w:val="32"/>
        </w:rPr>
        <w:t>秒。</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）十马干渠</w:t>
      </w:r>
    </w:p>
    <w:p>
      <w:pPr>
        <w:spacing w:line="590" w:lineRule="exact"/>
        <w:ind w:firstLine="624"/>
        <w:rPr>
          <w:rFonts w:eastAsia="仿宋_GB2312" w:cs="Times New Roman"/>
          <w:spacing w:val="-4"/>
          <w:sz w:val="32"/>
          <w:szCs w:val="32"/>
        </w:rPr>
      </w:pPr>
      <w:r>
        <w:rPr>
          <w:rFonts w:eastAsia="仿宋_GB2312" w:cs="Times New Roman"/>
          <w:spacing w:val="-4"/>
          <w:sz w:val="32"/>
          <w:szCs w:val="32"/>
        </w:rPr>
        <w:t>1960</w:t>
      </w:r>
      <w:r>
        <w:rPr>
          <w:rFonts w:hint="eastAsia" w:eastAsia="仿宋_GB2312" w:cs="Times New Roman"/>
          <w:spacing w:val="-4"/>
          <w:sz w:val="32"/>
          <w:szCs w:val="32"/>
        </w:rPr>
        <w:t>年雨季前开挖潘平至左各庄扬水站段，长</w:t>
      </w:r>
      <w:r>
        <w:rPr>
          <w:rFonts w:eastAsia="仿宋_GB2312" w:cs="Times New Roman"/>
          <w:spacing w:val="-4"/>
          <w:sz w:val="32"/>
          <w:szCs w:val="32"/>
        </w:rPr>
        <w:t>8500</w:t>
      </w:r>
      <w:r>
        <w:rPr>
          <w:rFonts w:hint="eastAsia" w:eastAsia="仿宋_GB2312" w:cs="Times New Roman"/>
          <w:spacing w:val="-4"/>
          <w:sz w:val="32"/>
          <w:szCs w:val="32"/>
        </w:rPr>
        <w:t>米，底宽</w:t>
      </w:r>
      <w:r>
        <w:rPr>
          <w:rFonts w:eastAsia="仿宋_GB2312" w:cs="Times New Roman"/>
          <w:spacing w:val="-4"/>
          <w:sz w:val="32"/>
          <w:szCs w:val="32"/>
        </w:rPr>
        <w:t>13</w:t>
      </w:r>
      <w:r>
        <w:rPr>
          <w:rFonts w:hint="eastAsia" w:eastAsia="仿宋_GB2312" w:cs="Times New Roman"/>
          <w:spacing w:val="-4"/>
          <w:sz w:val="32"/>
          <w:szCs w:val="32"/>
        </w:rPr>
        <w:t>米，底高程</w:t>
      </w:r>
      <w:r>
        <w:rPr>
          <w:rFonts w:eastAsia="仿宋_GB2312" w:cs="Times New Roman"/>
          <w:spacing w:val="-4"/>
          <w:sz w:val="32"/>
          <w:szCs w:val="32"/>
        </w:rPr>
        <w:t>2.0</w:t>
      </w:r>
      <w:r>
        <w:rPr>
          <w:rFonts w:hint="eastAsia" w:eastAsia="仿宋_GB2312" w:cs="Times New Roman"/>
          <w:spacing w:val="-4"/>
          <w:sz w:val="32"/>
          <w:szCs w:val="32"/>
        </w:rPr>
        <w:t>米，过水能力</w:t>
      </w:r>
      <w:r>
        <w:rPr>
          <w:rFonts w:eastAsia="仿宋_GB2312" w:cs="Times New Roman"/>
          <w:spacing w:val="-4"/>
          <w:sz w:val="32"/>
          <w:szCs w:val="32"/>
        </w:rPr>
        <w:t>7</w:t>
      </w:r>
      <w:r>
        <w:rPr>
          <w:rFonts w:hint="eastAsia" w:eastAsia="仿宋_GB2312" w:cs="Times New Roman"/>
          <w:spacing w:val="-4"/>
          <w:sz w:val="32"/>
          <w:szCs w:val="32"/>
        </w:rPr>
        <w:t>立方米</w:t>
      </w:r>
      <w:r>
        <w:rPr>
          <w:rFonts w:eastAsia="仿宋_GB2312" w:cs="Times New Roman"/>
          <w:spacing w:val="-4"/>
          <w:sz w:val="32"/>
          <w:szCs w:val="32"/>
        </w:rPr>
        <w:t>/</w:t>
      </w:r>
      <w:r>
        <w:rPr>
          <w:rFonts w:hint="eastAsia" w:eastAsia="仿宋_GB2312" w:cs="Times New Roman"/>
          <w:spacing w:val="-4"/>
          <w:sz w:val="32"/>
          <w:szCs w:val="32"/>
        </w:rPr>
        <w:t>秒。</w:t>
      </w:r>
      <w:r>
        <w:rPr>
          <w:rFonts w:eastAsia="仿宋_GB2312" w:cs="Times New Roman"/>
          <w:spacing w:val="-4"/>
          <w:sz w:val="32"/>
          <w:szCs w:val="32"/>
        </w:rPr>
        <w:t>1961</w:t>
      </w:r>
      <w:r>
        <w:rPr>
          <w:rFonts w:hint="eastAsia" w:eastAsia="仿宋_GB2312" w:cs="Times New Roman"/>
          <w:spacing w:val="-4"/>
          <w:sz w:val="32"/>
          <w:szCs w:val="32"/>
        </w:rPr>
        <w:t>年</w:t>
      </w:r>
      <w:r>
        <w:rPr>
          <w:rFonts w:eastAsia="仿宋_GB2312" w:cs="Times New Roman"/>
          <w:spacing w:val="-4"/>
          <w:sz w:val="32"/>
          <w:szCs w:val="32"/>
        </w:rPr>
        <w:t>5</w:t>
      </w:r>
      <w:r>
        <w:rPr>
          <w:rFonts w:hint="eastAsia" w:eastAsia="仿宋_GB2312" w:cs="Times New Roman"/>
          <w:spacing w:val="-4"/>
          <w:sz w:val="32"/>
          <w:szCs w:val="32"/>
        </w:rPr>
        <w:t>月接长潘平至马武营段，长</w:t>
      </w:r>
      <w:r>
        <w:rPr>
          <w:rFonts w:eastAsia="仿宋_GB2312" w:cs="Times New Roman"/>
          <w:spacing w:val="-4"/>
          <w:sz w:val="32"/>
          <w:szCs w:val="32"/>
        </w:rPr>
        <w:t>7600</w:t>
      </w:r>
      <w:r>
        <w:rPr>
          <w:rFonts w:hint="eastAsia" w:eastAsia="仿宋_GB2312" w:cs="Times New Roman"/>
          <w:spacing w:val="-4"/>
          <w:sz w:val="32"/>
          <w:szCs w:val="32"/>
        </w:rPr>
        <w:t>米。</w:t>
      </w:r>
      <w:r>
        <w:rPr>
          <w:rFonts w:eastAsia="仿宋_GB2312" w:cs="Times New Roman"/>
          <w:spacing w:val="-4"/>
          <w:sz w:val="32"/>
          <w:szCs w:val="32"/>
        </w:rPr>
        <w:t>1962</w:t>
      </w:r>
      <w:r>
        <w:rPr>
          <w:rFonts w:hint="eastAsia" w:eastAsia="仿宋_GB2312" w:cs="Times New Roman"/>
          <w:spacing w:val="-4"/>
          <w:sz w:val="32"/>
          <w:szCs w:val="32"/>
        </w:rPr>
        <w:t>年，接长段并入新开挖的排干一渠，潘平至左各庄扬水站一段仍称十马干渠，同时扩挖浚深。</w:t>
      </w:r>
    </w:p>
    <w:p>
      <w:pPr>
        <w:spacing w:line="590" w:lineRule="exact"/>
        <w:ind w:firstLine="640"/>
        <w:rPr>
          <w:rFonts w:eastAsia="仿宋_GB2312" w:cs="Times New Roman"/>
          <w:sz w:val="32"/>
          <w:szCs w:val="32"/>
        </w:rPr>
      </w:pPr>
      <w:r>
        <w:rPr>
          <w:rFonts w:eastAsia="仿宋_GB2312" w:cs="Times New Roman"/>
          <w:sz w:val="32"/>
          <w:szCs w:val="32"/>
        </w:rPr>
        <w:t>1965</w:t>
      </w:r>
      <w:r>
        <w:rPr>
          <w:rFonts w:hint="eastAsia" w:eastAsia="仿宋_GB2312" w:cs="Times New Roman"/>
          <w:sz w:val="32"/>
          <w:szCs w:val="32"/>
        </w:rPr>
        <w:t>年，按清南除涝规划，十马干渠当年动土</w:t>
      </w:r>
      <w:r>
        <w:rPr>
          <w:rFonts w:eastAsia="仿宋_GB2312" w:cs="Times New Roman"/>
          <w:sz w:val="32"/>
          <w:szCs w:val="32"/>
        </w:rPr>
        <w:t>2</w:t>
      </w:r>
      <w:r>
        <w:rPr>
          <w:rFonts w:hint="eastAsia" w:eastAsia="仿宋_GB2312" w:cs="Times New Roman"/>
          <w:sz w:val="32"/>
          <w:szCs w:val="32"/>
        </w:rPr>
        <w:t>万立方米，</w:t>
      </w:r>
      <w:r>
        <w:rPr>
          <w:rFonts w:eastAsia="仿宋_GB2312" w:cs="Times New Roman"/>
          <w:sz w:val="32"/>
          <w:szCs w:val="32"/>
        </w:rPr>
        <w:t>1966</w:t>
      </w:r>
      <w:r>
        <w:rPr>
          <w:rFonts w:hint="eastAsia" w:eastAsia="仿宋_GB2312" w:cs="Times New Roman"/>
          <w:sz w:val="32"/>
          <w:szCs w:val="32"/>
        </w:rPr>
        <w:t>年麦收前后两期扩挖后过水能力达</w:t>
      </w:r>
      <w:r>
        <w:rPr>
          <w:rFonts w:eastAsia="仿宋_GB2312" w:cs="Times New Roman"/>
          <w:sz w:val="32"/>
          <w:szCs w:val="32"/>
        </w:rPr>
        <w:t>30</w:t>
      </w:r>
      <w:r>
        <w:rPr>
          <w:rFonts w:hint="eastAsia" w:eastAsia="仿宋_GB2312" w:cs="Times New Roman"/>
          <w:sz w:val="32"/>
          <w:szCs w:val="32"/>
        </w:rPr>
        <w:t>立方米</w:t>
      </w:r>
      <w:r>
        <w:rPr>
          <w:rFonts w:eastAsia="仿宋_GB2312" w:cs="Times New Roman"/>
          <w:sz w:val="32"/>
          <w:szCs w:val="32"/>
        </w:rPr>
        <w:t>/</w:t>
      </w:r>
      <w:r>
        <w:rPr>
          <w:rFonts w:hint="eastAsia" w:eastAsia="仿宋_GB2312" w:cs="Times New Roman"/>
          <w:sz w:val="32"/>
          <w:szCs w:val="32"/>
        </w:rPr>
        <w:t>秒，渠底高程~</w:t>
      </w:r>
      <w:r>
        <w:rPr>
          <w:rFonts w:eastAsia="仿宋_GB2312" w:cs="Times New Roman"/>
          <w:sz w:val="32"/>
          <w:szCs w:val="32"/>
        </w:rPr>
        <w:t>0.5</w:t>
      </w:r>
      <w:r>
        <w:rPr>
          <w:rFonts w:hint="eastAsia" w:eastAsia="仿宋_GB2312" w:cs="Times New Roman"/>
          <w:sz w:val="32"/>
          <w:szCs w:val="32"/>
        </w:rPr>
        <w:t>米，底宽</w:t>
      </w:r>
      <w:r>
        <w:rPr>
          <w:rFonts w:eastAsia="仿宋_GB2312" w:cs="Times New Roman"/>
          <w:sz w:val="32"/>
          <w:szCs w:val="32"/>
        </w:rPr>
        <w:t>6.5</w:t>
      </w:r>
      <w:r>
        <w:rPr>
          <w:rFonts w:hint="eastAsia" w:eastAsia="仿宋_GB2312" w:cs="Times New Roman"/>
          <w:sz w:val="32"/>
          <w:szCs w:val="32"/>
        </w:rPr>
        <w:t>～</w:t>
      </w:r>
      <w:r>
        <w:rPr>
          <w:rFonts w:eastAsia="仿宋_GB2312" w:cs="Times New Roman"/>
          <w:sz w:val="32"/>
          <w:szCs w:val="32"/>
        </w:rPr>
        <w:t>9.5</w:t>
      </w:r>
      <w:r>
        <w:rPr>
          <w:rFonts w:hint="eastAsia" w:eastAsia="仿宋_GB2312" w:cs="Times New Roman"/>
          <w:sz w:val="32"/>
          <w:szCs w:val="32"/>
        </w:rPr>
        <w:t>米，边坡</w:t>
      </w:r>
      <w:r>
        <w:rPr>
          <w:rFonts w:eastAsia="仿宋_GB2312" w:cs="Times New Roman"/>
          <w:sz w:val="32"/>
          <w:szCs w:val="32"/>
        </w:rPr>
        <w:t>1:2.5</w:t>
      </w:r>
      <w:r>
        <w:rPr>
          <w:rFonts w:hint="eastAsia" w:eastAsia="仿宋_GB2312" w:cs="Times New Roman"/>
          <w:sz w:val="32"/>
          <w:szCs w:val="32"/>
        </w:rPr>
        <w:t>。</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）滩里干渠</w:t>
      </w:r>
    </w:p>
    <w:p>
      <w:pPr>
        <w:spacing w:line="590" w:lineRule="exact"/>
        <w:ind w:firstLine="640"/>
        <w:rPr>
          <w:rFonts w:eastAsia="仿宋_GB2312" w:cs="Times New Roman"/>
          <w:sz w:val="32"/>
          <w:szCs w:val="32"/>
        </w:rPr>
      </w:pPr>
      <w:r>
        <w:rPr>
          <w:rFonts w:hint="eastAsia" w:eastAsia="仿宋_GB2312" w:cs="Times New Roman"/>
          <w:sz w:val="32"/>
          <w:szCs w:val="32"/>
        </w:rPr>
        <w:t>上起潘平村南排干一渠与十马干渠交汇处，下至滩里东扬水站，全长</w:t>
      </w:r>
      <w:r>
        <w:rPr>
          <w:rFonts w:eastAsia="仿宋_GB2312" w:cs="Times New Roman"/>
          <w:sz w:val="32"/>
          <w:szCs w:val="32"/>
        </w:rPr>
        <w:t>7114</w:t>
      </w:r>
      <w:r>
        <w:rPr>
          <w:rFonts w:hint="eastAsia" w:eastAsia="仿宋_GB2312" w:cs="Times New Roman"/>
          <w:sz w:val="32"/>
          <w:szCs w:val="32"/>
        </w:rPr>
        <w:t>米。该渠</w:t>
      </w:r>
      <w:r>
        <w:rPr>
          <w:rFonts w:eastAsia="仿宋_GB2312" w:cs="Times New Roman"/>
          <w:sz w:val="32"/>
          <w:szCs w:val="32"/>
        </w:rPr>
        <w:t>1962</w:t>
      </w:r>
      <w:r>
        <w:rPr>
          <w:rFonts w:hint="eastAsia" w:eastAsia="仿宋_GB2312" w:cs="Times New Roman"/>
          <w:sz w:val="32"/>
          <w:szCs w:val="32"/>
        </w:rPr>
        <w:t>年春开挖，当年竣工，为自流排水渠。</w:t>
      </w:r>
      <w:r>
        <w:rPr>
          <w:rFonts w:eastAsia="仿宋_GB2312" w:cs="Times New Roman"/>
          <w:sz w:val="32"/>
          <w:szCs w:val="32"/>
        </w:rPr>
        <w:t>1965</w:t>
      </w:r>
      <w:r>
        <w:rPr>
          <w:rFonts w:hint="eastAsia" w:eastAsia="仿宋_GB2312" w:cs="Times New Roman"/>
          <w:sz w:val="32"/>
          <w:szCs w:val="32"/>
        </w:rPr>
        <w:t>年分两期扩挖，过水能力达</w:t>
      </w:r>
      <w:r>
        <w:rPr>
          <w:rFonts w:eastAsia="仿宋_GB2312" w:cs="Times New Roman"/>
          <w:sz w:val="32"/>
          <w:szCs w:val="32"/>
        </w:rPr>
        <w:t>54</w:t>
      </w:r>
      <w:r>
        <w:rPr>
          <w:rFonts w:hint="eastAsia" w:eastAsia="仿宋_GB2312" w:cs="Times New Roman"/>
          <w:sz w:val="32"/>
          <w:szCs w:val="32"/>
        </w:rPr>
        <w:t>立方米</w:t>
      </w:r>
      <w:r>
        <w:rPr>
          <w:rFonts w:eastAsia="仿宋_GB2312" w:cs="Times New Roman"/>
          <w:sz w:val="32"/>
          <w:szCs w:val="32"/>
        </w:rPr>
        <w:t>/</w:t>
      </w:r>
      <w:r>
        <w:rPr>
          <w:rFonts w:hint="eastAsia" w:eastAsia="仿宋_GB2312" w:cs="Times New Roman"/>
          <w:sz w:val="32"/>
          <w:szCs w:val="32"/>
        </w:rPr>
        <w:t>秒。</w:t>
      </w:r>
      <w:r>
        <w:rPr>
          <w:rFonts w:eastAsia="仿宋_GB2312" w:cs="Times New Roman"/>
          <w:sz w:val="32"/>
          <w:szCs w:val="32"/>
        </w:rPr>
        <w:t>1966</w:t>
      </w:r>
      <w:r>
        <w:rPr>
          <w:rFonts w:hint="eastAsia" w:eastAsia="仿宋_GB2312" w:cs="Times New Roman"/>
          <w:sz w:val="32"/>
          <w:szCs w:val="32"/>
        </w:rPr>
        <w:t>年</w:t>
      </w:r>
      <w:r>
        <w:rPr>
          <w:rFonts w:eastAsia="仿宋_GB2312" w:cs="Times New Roman"/>
          <w:sz w:val="32"/>
          <w:szCs w:val="32"/>
        </w:rPr>
        <w:t>3</w:t>
      </w:r>
      <w:r>
        <w:rPr>
          <w:rFonts w:hint="eastAsia" w:eastAsia="仿宋_GB2312" w:cs="Times New Roman"/>
          <w:sz w:val="32"/>
          <w:szCs w:val="32"/>
        </w:rPr>
        <w:t>月中旬至</w:t>
      </w:r>
      <w:r>
        <w:rPr>
          <w:rFonts w:eastAsia="仿宋_GB2312" w:cs="Times New Roman"/>
          <w:sz w:val="32"/>
          <w:szCs w:val="32"/>
        </w:rPr>
        <w:t>5</w:t>
      </w:r>
      <w:r>
        <w:rPr>
          <w:rFonts w:hint="eastAsia" w:eastAsia="仿宋_GB2312" w:cs="Times New Roman"/>
          <w:sz w:val="32"/>
          <w:szCs w:val="32"/>
        </w:rPr>
        <w:t>月底再次扩疏。</w:t>
      </w:r>
    </w:p>
    <w:p>
      <w:pPr>
        <w:spacing w:line="590" w:lineRule="exact"/>
        <w:ind w:firstLine="640"/>
        <w:rPr>
          <w:rFonts w:eastAsia="仿宋_GB2312" w:cs="Times New Roman"/>
          <w:sz w:val="32"/>
          <w:szCs w:val="32"/>
        </w:rPr>
      </w:pPr>
      <w:r>
        <w:rPr>
          <w:rFonts w:eastAsia="仿宋_GB2312" w:cs="Times New Roman"/>
          <w:sz w:val="32"/>
          <w:szCs w:val="32"/>
        </w:rPr>
        <w:t>1972</w:t>
      </w:r>
      <w:r>
        <w:rPr>
          <w:rFonts w:hint="eastAsia" w:eastAsia="仿宋_GB2312" w:cs="Times New Roman"/>
          <w:sz w:val="32"/>
          <w:szCs w:val="32"/>
        </w:rPr>
        <w:t>年，开挖滩里新渠，在南艾头村滩里排水干渠交叉，段长</w:t>
      </w:r>
      <w:r>
        <w:rPr>
          <w:rFonts w:eastAsia="仿宋_GB2312" w:cs="Times New Roman"/>
          <w:sz w:val="32"/>
          <w:szCs w:val="32"/>
        </w:rPr>
        <w:t>400</w:t>
      </w:r>
      <w:r>
        <w:rPr>
          <w:rFonts w:hint="eastAsia" w:eastAsia="仿宋_GB2312" w:cs="Times New Roman"/>
          <w:sz w:val="32"/>
          <w:szCs w:val="32"/>
        </w:rPr>
        <w:t>米。渠底高程</w:t>
      </w:r>
      <w:r>
        <w:rPr>
          <w:rFonts w:eastAsia="仿宋_GB2312" w:cs="Times New Roman"/>
          <w:sz w:val="32"/>
          <w:szCs w:val="32"/>
        </w:rPr>
        <w:t>0.0</w:t>
      </w:r>
      <w:r>
        <w:rPr>
          <w:rFonts w:hint="eastAsia" w:eastAsia="仿宋_GB2312" w:cs="Times New Roman"/>
          <w:sz w:val="32"/>
          <w:szCs w:val="32"/>
        </w:rPr>
        <w:t>～</w:t>
      </w:r>
      <w:r>
        <w:rPr>
          <w:rFonts w:eastAsia="仿宋_GB2312" w:cs="Times New Roman"/>
          <w:sz w:val="32"/>
          <w:szCs w:val="32"/>
        </w:rPr>
        <w:t>0.24</w:t>
      </w:r>
      <w:r>
        <w:rPr>
          <w:rFonts w:hint="eastAsia" w:eastAsia="仿宋_GB2312" w:cs="Times New Roman"/>
          <w:sz w:val="32"/>
          <w:szCs w:val="32"/>
        </w:rPr>
        <w:t>米，底宽</w:t>
      </w:r>
      <w:r>
        <w:rPr>
          <w:rFonts w:eastAsia="仿宋_GB2312" w:cs="Times New Roman"/>
          <w:sz w:val="32"/>
          <w:szCs w:val="32"/>
        </w:rPr>
        <w:t>20</w:t>
      </w:r>
      <w:r>
        <w:rPr>
          <w:rFonts w:hint="eastAsia" w:eastAsia="仿宋_GB2312" w:cs="Times New Roman"/>
          <w:sz w:val="32"/>
          <w:szCs w:val="32"/>
        </w:rPr>
        <w:t>米，边坡</w:t>
      </w:r>
      <w:r>
        <w:rPr>
          <w:rFonts w:eastAsia="仿宋_GB2312" w:cs="Times New Roman"/>
          <w:sz w:val="32"/>
          <w:szCs w:val="32"/>
        </w:rPr>
        <w:t>1:2.5</w:t>
      </w:r>
      <w:r>
        <w:rPr>
          <w:rFonts w:hint="eastAsia" w:eastAsia="仿宋_GB2312" w:cs="Times New Roman"/>
          <w:sz w:val="32"/>
          <w:szCs w:val="32"/>
        </w:rPr>
        <w:t>，过水能力</w:t>
      </w:r>
      <w:r>
        <w:rPr>
          <w:rFonts w:eastAsia="仿宋_GB2312" w:cs="Times New Roman"/>
          <w:sz w:val="32"/>
          <w:szCs w:val="32"/>
        </w:rPr>
        <w:t>60</w:t>
      </w:r>
      <w:r>
        <w:rPr>
          <w:rFonts w:hint="eastAsia" w:eastAsia="仿宋_GB2312" w:cs="Times New Roman"/>
          <w:sz w:val="32"/>
          <w:szCs w:val="32"/>
        </w:rPr>
        <w:t>立方米</w:t>
      </w:r>
      <w:r>
        <w:rPr>
          <w:rFonts w:eastAsia="仿宋_GB2312" w:cs="Times New Roman"/>
          <w:sz w:val="32"/>
          <w:szCs w:val="32"/>
        </w:rPr>
        <w:t>/</w:t>
      </w:r>
      <w:r>
        <w:rPr>
          <w:rFonts w:hint="eastAsia" w:eastAsia="仿宋_GB2312" w:cs="Times New Roman"/>
          <w:sz w:val="32"/>
          <w:szCs w:val="32"/>
        </w:rPr>
        <w:t>秒。</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）石沟干渠</w:t>
      </w:r>
    </w:p>
    <w:p>
      <w:pPr>
        <w:spacing w:line="590" w:lineRule="exact"/>
        <w:ind w:firstLine="640"/>
        <w:rPr>
          <w:rFonts w:eastAsia="仿宋_GB2312" w:cs="Times New Roman"/>
          <w:sz w:val="32"/>
          <w:szCs w:val="32"/>
        </w:rPr>
      </w:pPr>
      <w:r>
        <w:rPr>
          <w:rFonts w:hint="eastAsia" w:eastAsia="仿宋_GB2312" w:cs="Times New Roman"/>
          <w:sz w:val="32"/>
          <w:szCs w:val="32"/>
        </w:rPr>
        <w:t>石沟干渠位于文安县和霸州市交界处，为中亭河向大清河排水而人工修建的排干渠。北起胜芳镇南环排水泵站，南至大清河北岸石沟扬水站，排干渠宽约</w:t>
      </w:r>
      <w:r>
        <w:rPr>
          <w:rFonts w:eastAsia="仿宋_GB2312" w:cs="Times New Roman"/>
          <w:sz w:val="32"/>
          <w:szCs w:val="32"/>
        </w:rPr>
        <w:t>15</w:t>
      </w:r>
      <w:r>
        <w:rPr>
          <w:rFonts w:hint="eastAsia" w:eastAsia="仿宋_GB2312" w:cs="Times New Roman"/>
          <w:sz w:val="32"/>
          <w:szCs w:val="32"/>
        </w:rPr>
        <w:t>米，深</w:t>
      </w:r>
      <w:r>
        <w:rPr>
          <w:rFonts w:eastAsia="仿宋_GB2312" w:cs="Times New Roman"/>
          <w:sz w:val="32"/>
          <w:szCs w:val="32"/>
        </w:rPr>
        <w:t>4</w:t>
      </w:r>
      <w:r>
        <w:rPr>
          <w:rFonts w:hint="eastAsia" w:eastAsia="仿宋_GB2312" w:cs="Times New Roman"/>
          <w:sz w:val="32"/>
          <w:szCs w:val="32"/>
        </w:rPr>
        <w:t>米。</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）富管营村东渠</w:t>
      </w:r>
    </w:p>
    <w:p>
      <w:pPr>
        <w:spacing w:line="590" w:lineRule="exact"/>
        <w:ind w:firstLine="640"/>
        <w:rPr>
          <w:rFonts w:eastAsia="仿宋_GB2312" w:cs="Times New Roman"/>
          <w:sz w:val="32"/>
          <w:szCs w:val="32"/>
        </w:rPr>
      </w:pPr>
      <w:r>
        <w:rPr>
          <w:rFonts w:hint="eastAsia" w:eastAsia="仿宋_GB2312" w:cs="Times New Roman"/>
          <w:sz w:val="32"/>
          <w:szCs w:val="32"/>
        </w:rPr>
        <w:t>富管营村东渠位于富管营村东边，下至富管营扬水站，为自流排水渠，承接富管营村周边排沥水和生活污水。</w:t>
      </w:r>
    </w:p>
    <w:p>
      <w:pPr>
        <w:pStyle w:val="3"/>
        <w:spacing w:line="590" w:lineRule="exact"/>
        <w:ind w:firstLine="643"/>
        <w:rPr>
          <w:rFonts w:eastAsia="楷体_GB2312"/>
        </w:rPr>
      </w:pPr>
      <w:bookmarkStart w:id="183" w:name="_Toc15430"/>
      <w:bookmarkStart w:id="184" w:name="_Toc15442"/>
      <w:r>
        <w:rPr>
          <w:rFonts w:eastAsia="楷体_GB2312"/>
        </w:rPr>
        <w:t>2.5</w:t>
      </w:r>
      <w:r>
        <w:rPr>
          <w:rFonts w:hint="eastAsia" w:eastAsia="楷体_GB2312"/>
        </w:rPr>
        <w:t>水资源概况</w:t>
      </w:r>
      <w:bookmarkEnd w:id="183"/>
      <w:bookmarkEnd w:id="184"/>
    </w:p>
    <w:p>
      <w:pPr>
        <w:spacing w:line="590"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年河北省水资源公报》，</w:t>
      </w:r>
      <w:r>
        <w:rPr>
          <w:rFonts w:eastAsia="仿宋_GB2312" w:cs="Times New Roman"/>
          <w:sz w:val="32"/>
          <w:szCs w:val="32"/>
        </w:rPr>
        <w:t>2017</w:t>
      </w:r>
      <w:r>
        <w:rPr>
          <w:rFonts w:hint="eastAsia" w:eastAsia="仿宋_GB2312" w:cs="Times New Roman"/>
          <w:sz w:val="32"/>
          <w:szCs w:val="32"/>
        </w:rPr>
        <w:t>年廊坊市地表水资源总量为</w:t>
      </w:r>
      <w:r>
        <w:rPr>
          <w:rFonts w:eastAsia="仿宋_GB2312" w:cs="Times New Roman"/>
          <w:sz w:val="32"/>
          <w:szCs w:val="32"/>
        </w:rPr>
        <w:t>0.43</w:t>
      </w:r>
      <w:r>
        <w:rPr>
          <w:rFonts w:hint="eastAsia" w:eastAsia="仿宋_GB2312" w:cs="Times New Roman"/>
          <w:sz w:val="32"/>
          <w:szCs w:val="32"/>
        </w:rPr>
        <w:t>亿立方米，地下水资源量</w:t>
      </w:r>
      <w:r>
        <w:rPr>
          <w:rFonts w:eastAsia="仿宋_GB2312" w:cs="Times New Roman"/>
          <w:sz w:val="32"/>
          <w:szCs w:val="32"/>
        </w:rPr>
        <w:t>5.47</w:t>
      </w:r>
      <w:r>
        <w:rPr>
          <w:rFonts w:hint="eastAsia" w:eastAsia="仿宋_GB2312" w:cs="Times New Roman"/>
          <w:sz w:val="32"/>
          <w:szCs w:val="32"/>
        </w:rPr>
        <w:t>亿立方米，水资源总量</w:t>
      </w:r>
      <w:r>
        <w:rPr>
          <w:rFonts w:eastAsia="仿宋_GB2312" w:cs="Times New Roman"/>
          <w:sz w:val="32"/>
          <w:szCs w:val="32"/>
        </w:rPr>
        <w:t>5.83</w:t>
      </w:r>
      <w:r>
        <w:rPr>
          <w:rFonts w:hint="eastAsia" w:eastAsia="仿宋_GB2312" w:cs="Times New Roman"/>
          <w:sz w:val="32"/>
          <w:szCs w:val="32"/>
        </w:rPr>
        <w:t>亿立方米，比多年平均值减少</w:t>
      </w:r>
      <w:r>
        <w:rPr>
          <w:rFonts w:eastAsia="仿宋_GB2312" w:cs="Times New Roman"/>
          <w:sz w:val="32"/>
          <w:szCs w:val="32"/>
        </w:rPr>
        <w:t>2.21</w:t>
      </w:r>
      <w:r>
        <w:rPr>
          <w:rFonts w:hint="eastAsia" w:eastAsia="仿宋_GB2312" w:cs="Times New Roman"/>
          <w:sz w:val="32"/>
          <w:szCs w:val="32"/>
        </w:rPr>
        <w:t>亿立方米，属于枯水年份。廊坊市属于极度缺水地区，其中</w:t>
      </w:r>
      <w:r>
        <w:rPr>
          <w:rFonts w:eastAsia="仿宋_GB2312" w:cs="Times New Roman"/>
          <w:sz w:val="32"/>
          <w:szCs w:val="32"/>
        </w:rPr>
        <w:t>2017</w:t>
      </w:r>
      <w:r>
        <w:rPr>
          <w:rFonts w:hint="eastAsia" w:eastAsia="仿宋_GB2312" w:cs="Times New Roman"/>
          <w:sz w:val="32"/>
          <w:szCs w:val="32"/>
        </w:rPr>
        <w:t>年的人均水资源量仅为</w:t>
      </w:r>
      <w:r>
        <w:rPr>
          <w:rFonts w:eastAsia="仿宋_GB2312" w:cs="Times New Roman"/>
          <w:sz w:val="32"/>
          <w:szCs w:val="32"/>
        </w:rPr>
        <w:t>123</w:t>
      </w:r>
      <w:r>
        <w:rPr>
          <w:rFonts w:hint="eastAsia" w:eastAsia="仿宋_GB2312" w:cs="Times New Roman"/>
          <w:sz w:val="32"/>
          <w:szCs w:val="32"/>
        </w:rPr>
        <w:t>立方米，低于河北省的人均水资源量</w:t>
      </w:r>
      <w:r>
        <w:rPr>
          <w:rFonts w:eastAsia="仿宋_GB2312" w:cs="Times New Roman"/>
          <w:sz w:val="32"/>
          <w:szCs w:val="32"/>
        </w:rPr>
        <w:t>179</w:t>
      </w:r>
      <w:r>
        <w:rPr>
          <w:rFonts w:hint="eastAsia" w:eastAsia="仿宋_GB2312" w:cs="Times New Roman"/>
          <w:sz w:val="32"/>
          <w:szCs w:val="32"/>
        </w:rPr>
        <w:t>立方米。</w:t>
      </w:r>
      <w:r>
        <w:rPr>
          <w:rFonts w:eastAsia="仿宋_GB2312" w:cs="Times New Roman"/>
          <w:sz w:val="32"/>
          <w:szCs w:val="32"/>
        </w:rPr>
        <w:t>2018</w:t>
      </w:r>
      <w:r>
        <w:rPr>
          <w:rFonts w:hint="eastAsia" w:eastAsia="仿宋_GB2312" w:cs="Times New Roman"/>
          <w:sz w:val="32"/>
          <w:szCs w:val="32"/>
        </w:rPr>
        <w:t>年，由上游地区流入廊坊市的地表水量约</w:t>
      </w:r>
      <w:r>
        <w:rPr>
          <w:rFonts w:eastAsia="仿宋_GB2312" w:cs="Times New Roman"/>
          <w:sz w:val="32"/>
          <w:szCs w:val="32"/>
        </w:rPr>
        <w:t>15</w:t>
      </w:r>
      <w:r>
        <w:rPr>
          <w:rFonts w:hint="eastAsia" w:eastAsia="仿宋_GB2312" w:cs="Times New Roman"/>
          <w:sz w:val="32"/>
          <w:szCs w:val="32"/>
        </w:rPr>
        <w:t>亿立方米，入境河道分别是泃河、潮白河、北运河、龙河，全市出境水量通过泃河、潮白河、北运河、龙河下泄。</w:t>
      </w:r>
    </w:p>
    <w:p>
      <w:pPr>
        <w:spacing w:line="590"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年廊坊市水资源公报》，本方案治理对象赵王新河（大清河）、牤牛河、中亭河等河道实测径流量均为</w:t>
      </w:r>
      <w:r>
        <w:rPr>
          <w:rFonts w:eastAsia="仿宋_GB2312" w:cs="Times New Roman"/>
          <w:sz w:val="32"/>
          <w:szCs w:val="32"/>
        </w:rPr>
        <w:t>0</w:t>
      </w:r>
      <w:r>
        <w:rPr>
          <w:rFonts w:hint="eastAsia" w:eastAsia="仿宋_GB2312" w:cs="Times New Roman"/>
          <w:sz w:val="32"/>
          <w:szCs w:val="32"/>
        </w:rPr>
        <w:t>。</w:t>
      </w:r>
    </w:p>
    <w:p>
      <w:pPr>
        <w:pStyle w:val="3"/>
        <w:spacing w:line="590" w:lineRule="exact"/>
        <w:ind w:firstLine="643"/>
        <w:rPr>
          <w:rFonts w:eastAsia="楷体_GB2312"/>
        </w:rPr>
      </w:pPr>
      <w:bookmarkStart w:id="185" w:name="_Toc1369"/>
      <w:bookmarkStart w:id="186" w:name="_Toc5152"/>
      <w:r>
        <w:rPr>
          <w:rFonts w:eastAsia="楷体_GB2312"/>
        </w:rPr>
        <w:t>2.6</w:t>
      </w:r>
      <w:r>
        <w:rPr>
          <w:rFonts w:hint="eastAsia" w:eastAsia="楷体_GB2312"/>
        </w:rPr>
        <w:t>自然资源</w:t>
      </w:r>
      <w:bookmarkEnd w:id="185"/>
      <w:bookmarkEnd w:id="186"/>
    </w:p>
    <w:p>
      <w:pPr>
        <w:spacing w:line="590" w:lineRule="exact"/>
        <w:ind w:firstLine="640"/>
        <w:rPr>
          <w:rFonts w:eastAsia="仿宋_GB2312" w:cs="Times New Roman"/>
          <w:sz w:val="32"/>
          <w:szCs w:val="32"/>
        </w:rPr>
      </w:pPr>
      <w:r>
        <w:rPr>
          <w:rFonts w:hint="eastAsia" w:eastAsia="仿宋_GB2312" w:cs="Times New Roman"/>
          <w:sz w:val="32"/>
          <w:szCs w:val="32"/>
        </w:rPr>
        <w:t>区域土壤类型主要分为</w:t>
      </w:r>
      <w:r>
        <w:rPr>
          <w:rFonts w:eastAsia="仿宋_GB2312" w:cs="Times New Roman"/>
          <w:sz w:val="32"/>
          <w:szCs w:val="32"/>
        </w:rPr>
        <w:t>3</w:t>
      </w:r>
      <w:r>
        <w:rPr>
          <w:rFonts w:hint="eastAsia" w:eastAsia="仿宋_GB2312" w:cs="Times New Roman"/>
          <w:sz w:val="32"/>
          <w:szCs w:val="32"/>
        </w:rPr>
        <w:t>类，分别为潮土、草甸土和盐土。其中，潮土是河流沉积物受地下水影响形成，主要分布在河沿岸地带；草甸土系未开垦的荒地，分布不均，多保持自然肥力；盐土是冲积母质，主要在高起之处零星分布，一般作物不能生长。</w:t>
      </w:r>
    </w:p>
    <w:p>
      <w:pPr>
        <w:spacing w:line="590" w:lineRule="exact"/>
        <w:ind w:firstLine="640"/>
        <w:rPr>
          <w:rFonts w:eastAsia="仿宋_GB2312" w:cs="Times New Roman"/>
          <w:sz w:val="32"/>
          <w:szCs w:val="32"/>
        </w:rPr>
      </w:pPr>
      <w:r>
        <w:rPr>
          <w:rFonts w:hint="eastAsia" w:eastAsia="仿宋_GB2312" w:cs="Times New Roman"/>
          <w:sz w:val="32"/>
          <w:szCs w:val="32"/>
        </w:rPr>
        <w:t>近几年来文安县湿地面积和湿地环境不断得到改善，使得文安县的鸟类资源呈现上升趋势。项目区鸟类资源丰富，时常出现野鸭成群的壮观景象。根据不完全统计，项目区内共有鸟纲</w:t>
      </w:r>
      <w:r>
        <w:rPr>
          <w:rFonts w:eastAsia="仿宋_GB2312" w:cs="Times New Roman"/>
          <w:sz w:val="32"/>
          <w:szCs w:val="32"/>
        </w:rPr>
        <w:t>71</w:t>
      </w:r>
      <w:r>
        <w:rPr>
          <w:rFonts w:hint="eastAsia" w:eastAsia="仿宋_GB2312" w:cs="Times New Roman"/>
          <w:sz w:val="32"/>
          <w:szCs w:val="32"/>
        </w:rPr>
        <w:t>种，分为</w:t>
      </w:r>
      <w:r>
        <w:rPr>
          <w:rFonts w:eastAsia="仿宋_GB2312" w:cs="Times New Roman"/>
          <w:sz w:val="32"/>
          <w:szCs w:val="32"/>
        </w:rPr>
        <w:t>8</w:t>
      </w:r>
      <w:r>
        <w:rPr>
          <w:rFonts w:hint="eastAsia" w:eastAsia="仿宋_GB2312" w:cs="Times New Roman"/>
          <w:sz w:val="32"/>
          <w:szCs w:val="32"/>
        </w:rPr>
        <w:t>个目，</w:t>
      </w:r>
      <w:r>
        <w:rPr>
          <w:rFonts w:eastAsia="仿宋_GB2312" w:cs="Times New Roman"/>
          <w:sz w:val="32"/>
          <w:szCs w:val="32"/>
        </w:rPr>
        <w:t>21</w:t>
      </w:r>
      <w:r>
        <w:rPr>
          <w:rFonts w:hint="eastAsia" w:eastAsia="仿宋_GB2312" w:cs="Times New Roman"/>
          <w:sz w:val="32"/>
          <w:szCs w:val="32"/>
        </w:rPr>
        <w:t>科，其中常见种类有北红尾鸲、凤头麦鸡、黑翅长脚鹬等。赵王新河湿地内鱼类、两栖动物、爬行动物、底栖动物等动物资源亦丰富多样，其中尤其是以鱼类最为突出，本公园内有鱼类</w:t>
      </w:r>
      <w:r>
        <w:rPr>
          <w:rFonts w:eastAsia="仿宋_GB2312" w:cs="Times New Roman"/>
          <w:sz w:val="32"/>
          <w:szCs w:val="32"/>
        </w:rPr>
        <w:t>23</w:t>
      </w:r>
      <w:r>
        <w:rPr>
          <w:rFonts w:hint="eastAsia" w:eastAsia="仿宋_GB2312" w:cs="Times New Roman"/>
          <w:sz w:val="32"/>
          <w:szCs w:val="32"/>
        </w:rPr>
        <w:t>种，共分为</w:t>
      </w:r>
      <w:r>
        <w:rPr>
          <w:rFonts w:eastAsia="仿宋_GB2312" w:cs="Times New Roman"/>
          <w:sz w:val="32"/>
          <w:szCs w:val="32"/>
        </w:rPr>
        <w:t>10</w:t>
      </w:r>
      <w:r>
        <w:rPr>
          <w:rFonts w:hint="eastAsia" w:eastAsia="仿宋_GB2312" w:cs="Times New Roman"/>
          <w:sz w:val="32"/>
          <w:szCs w:val="32"/>
        </w:rPr>
        <w:t>个科，如乌鳢、鲤鱼。</w:t>
      </w:r>
    </w:p>
    <w:p>
      <w:pPr>
        <w:pStyle w:val="3"/>
        <w:spacing w:line="590" w:lineRule="exact"/>
        <w:ind w:firstLine="643"/>
        <w:rPr>
          <w:rFonts w:eastAsia="楷体_GB2312"/>
        </w:rPr>
      </w:pPr>
      <w:bookmarkStart w:id="187" w:name="_Toc14770"/>
      <w:bookmarkStart w:id="188" w:name="_Toc20381"/>
      <w:r>
        <w:rPr>
          <w:rFonts w:eastAsia="楷体_GB2312"/>
        </w:rPr>
        <w:t>2.7</w:t>
      </w:r>
      <w:r>
        <w:rPr>
          <w:rFonts w:hint="eastAsia" w:eastAsia="楷体_GB2312"/>
        </w:rPr>
        <w:t>社会经济概况</w:t>
      </w:r>
      <w:bookmarkEnd w:id="187"/>
      <w:bookmarkEnd w:id="188"/>
    </w:p>
    <w:p>
      <w:pPr>
        <w:pStyle w:val="4"/>
        <w:spacing w:line="590" w:lineRule="exact"/>
        <w:ind w:firstLine="643"/>
      </w:pPr>
      <w:bookmarkStart w:id="189" w:name="_Toc1182"/>
      <w:bookmarkStart w:id="190" w:name="_Toc29199"/>
      <w:r>
        <w:t xml:space="preserve">2.7.1 </w:t>
      </w:r>
      <w:r>
        <w:rPr>
          <w:rFonts w:hint="eastAsia"/>
        </w:rPr>
        <w:t>文安县</w:t>
      </w:r>
      <w:bookmarkEnd w:id="189"/>
      <w:bookmarkEnd w:id="190"/>
    </w:p>
    <w:p>
      <w:pPr>
        <w:spacing w:line="590" w:lineRule="exact"/>
        <w:ind w:firstLine="640"/>
        <w:rPr>
          <w:rFonts w:eastAsia="仿宋_GB2312" w:cs="Times New Roman"/>
          <w:sz w:val="32"/>
          <w:szCs w:val="32"/>
        </w:rPr>
      </w:pPr>
      <w:r>
        <w:rPr>
          <w:rFonts w:hint="eastAsia" w:eastAsia="仿宋_GB2312" w:cs="Times New Roman"/>
          <w:sz w:val="32"/>
          <w:szCs w:val="32"/>
        </w:rPr>
        <w:t>文安县地处环京津环渤海腹地，被京津保三大城市环抱其间，北距北京</w:t>
      </w:r>
      <w:r>
        <w:rPr>
          <w:rFonts w:eastAsia="仿宋_GB2312" w:cs="Times New Roman"/>
          <w:sz w:val="32"/>
          <w:szCs w:val="32"/>
        </w:rPr>
        <w:t>120</w:t>
      </w:r>
      <w:r>
        <w:rPr>
          <w:rFonts w:hint="eastAsia" w:eastAsia="仿宋_GB2312" w:cs="Times New Roman"/>
          <w:sz w:val="32"/>
          <w:szCs w:val="32"/>
        </w:rPr>
        <w:t>公里，东邻天津</w:t>
      </w:r>
      <w:r>
        <w:rPr>
          <w:rFonts w:eastAsia="仿宋_GB2312" w:cs="Times New Roman"/>
          <w:sz w:val="32"/>
          <w:szCs w:val="32"/>
        </w:rPr>
        <w:t>80</w:t>
      </w:r>
      <w:r>
        <w:rPr>
          <w:rFonts w:hint="eastAsia" w:eastAsia="仿宋_GB2312" w:cs="Times New Roman"/>
          <w:sz w:val="32"/>
          <w:szCs w:val="32"/>
        </w:rPr>
        <w:t>公里，西距保定</w:t>
      </w:r>
      <w:r>
        <w:rPr>
          <w:rFonts w:eastAsia="仿宋_GB2312" w:cs="Times New Roman"/>
          <w:sz w:val="32"/>
          <w:szCs w:val="32"/>
        </w:rPr>
        <w:t>90</w:t>
      </w:r>
      <w:r>
        <w:rPr>
          <w:rFonts w:hint="eastAsia" w:eastAsia="仿宋_GB2312" w:cs="Times New Roman"/>
          <w:sz w:val="32"/>
          <w:szCs w:val="32"/>
        </w:rPr>
        <w:t>公里。文安县总面积</w:t>
      </w:r>
      <w:r>
        <w:rPr>
          <w:rFonts w:eastAsia="仿宋_GB2312" w:cs="Times New Roman"/>
          <w:sz w:val="32"/>
          <w:szCs w:val="32"/>
        </w:rPr>
        <w:t>1037</w:t>
      </w:r>
      <w:r>
        <w:rPr>
          <w:rFonts w:hint="eastAsia" w:eastAsia="仿宋_GB2312" w:cs="Times New Roman"/>
          <w:sz w:val="32"/>
          <w:szCs w:val="32"/>
        </w:rPr>
        <w:t>平方公里，辖</w:t>
      </w:r>
      <w:r>
        <w:rPr>
          <w:rFonts w:eastAsia="仿宋_GB2312" w:cs="Times New Roman"/>
          <w:sz w:val="32"/>
          <w:szCs w:val="32"/>
        </w:rPr>
        <w:t>13</w:t>
      </w:r>
      <w:r>
        <w:rPr>
          <w:rFonts w:hint="eastAsia" w:eastAsia="仿宋_GB2312" w:cs="Times New Roman"/>
          <w:sz w:val="32"/>
          <w:szCs w:val="32"/>
        </w:rPr>
        <w:t>个乡镇、</w:t>
      </w:r>
      <w:r>
        <w:rPr>
          <w:rFonts w:eastAsia="仿宋_GB2312" w:cs="Times New Roman"/>
          <w:sz w:val="32"/>
          <w:szCs w:val="32"/>
        </w:rPr>
        <w:t>5</w:t>
      </w:r>
      <w:r>
        <w:rPr>
          <w:rFonts w:hint="eastAsia" w:eastAsia="仿宋_GB2312" w:cs="Times New Roman"/>
          <w:sz w:val="32"/>
          <w:szCs w:val="32"/>
        </w:rPr>
        <w:t>个国营农场、</w:t>
      </w:r>
      <w:r>
        <w:rPr>
          <w:rFonts w:eastAsia="仿宋_GB2312" w:cs="Times New Roman"/>
          <w:sz w:val="32"/>
          <w:szCs w:val="32"/>
        </w:rPr>
        <w:t>383</w:t>
      </w:r>
      <w:r>
        <w:rPr>
          <w:rFonts w:hint="eastAsia" w:eastAsia="仿宋_GB2312" w:cs="Times New Roman"/>
          <w:sz w:val="32"/>
          <w:szCs w:val="32"/>
        </w:rPr>
        <w:t>个行政村。文安县人口</w:t>
      </w:r>
      <w:r>
        <w:rPr>
          <w:rFonts w:eastAsia="仿宋_GB2312" w:cs="Times New Roman"/>
          <w:sz w:val="32"/>
          <w:szCs w:val="32"/>
        </w:rPr>
        <w:t>50</w:t>
      </w:r>
      <w:r>
        <w:rPr>
          <w:rFonts w:hint="eastAsia" w:eastAsia="仿宋_GB2312" w:cs="Times New Roman"/>
          <w:sz w:val="32"/>
          <w:szCs w:val="32"/>
        </w:rPr>
        <w:t>万，主要由汉族组成，共有</w:t>
      </w:r>
      <w:r>
        <w:rPr>
          <w:rFonts w:eastAsia="仿宋_GB2312" w:cs="Times New Roman"/>
          <w:sz w:val="32"/>
          <w:szCs w:val="32"/>
        </w:rPr>
        <w:t>13</w:t>
      </w:r>
      <w:r>
        <w:rPr>
          <w:rFonts w:hint="eastAsia" w:eastAsia="仿宋_GB2312" w:cs="Times New Roman"/>
          <w:sz w:val="32"/>
          <w:szCs w:val="32"/>
        </w:rPr>
        <w:t>个少数民族成份，以回族、满族为主体。</w:t>
      </w:r>
    </w:p>
    <w:p>
      <w:pPr>
        <w:spacing w:line="590" w:lineRule="exact"/>
        <w:ind w:firstLine="640"/>
        <w:rPr>
          <w:rFonts w:eastAsia="仿宋_GB2312" w:cs="Times New Roman"/>
          <w:sz w:val="32"/>
          <w:szCs w:val="32"/>
        </w:rPr>
      </w:pPr>
      <w:r>
        <w:rPr>
          <w:rFonts w:eastAsia="仿宋_GB2312" w:cs="Times New Roman"/>
          <w:sz w:val="32"/>
          <w:szCs w:val="32"/>
        </w:rPr>
        <w:t>2017</w:t>
      </w:r>
      <w:r>
        <w:rPr>
          <w:rFonts w:hint="eastAsia" w:eastAsia="仿宋_GB2312" w:cs="Times New Roman"/>
          <w:sz w:val="32"/>
          <w:szCs w:val="32"/>
        </w:rPr>
        <w:t>年，文安县全年地区生产总值完成</w:t>
      </w:r>
      <w:r>
        <w:rPr>
          <w:rFonts w:eastAsia="仿宋_GB2312" w:cs="Times New Roman"/>
          <w:sz w:val="32"/>
          <w:szCs w:val="32"/>
        </w:rPr>
        <w:t>158.5</w:t>
      </w:r>
      <w:r>
        <w:rPr>
          <w:rFonts w:hint="eastAsia" w:eastAsia="仿宋_GB2312" w:cs="Times New Roman"/>
          <w:sz w:val="32"/>
          <w:szCs w:val="32"/>
        </w:rPr>
        <w:t>亿元，同比增长</w:t>
      </w:r>
      <w:r>
        <w:rPr>
          <w:rFonts w:eastAsia="仿宋_GB2312" w:cs="Times New Roman"/>
          <w:sz w:val="32"/>
          <w:szCs w:val="32"/>
        </w:rPr>
        <w:t>6.8%</w:t>
      </w:r>
      <w:r>
        <w:rPr>
          <w:rFonts w:hint="eastAsia" w:eastAsia="仿宋_GB2312" w:cs="Times New Roman"/>
          <w:sz w:val="32"/>
          <w:szCs w:val="32"/>
        </w:rPr>
        <w:t>；全部财政收入完成</w:t>
      </w:r>
      <w:r>
        <w:rPr>
          <w:rFonts w:eastAsia="仿宋_GB2312" w:cs="Times New Roman"/>
          <w:sz w:val="32"/>
          <w:szCs w:val="32"/>
        </w:rPr>
        <w:t>17.15</w:t>
      </w:r>
      <w:r>
        <w:rPr>
          <w:rFonts w:hint="eastAsia" w:eastAsia="仿宋_GB2312" w:cs="Times New Roman"/>
          <w:sz w:val="32"/>
          <w:szCs w:val="32"/>
        </w:rPr>
        <w:t>亿元，同比增长</w:t>
      </w:r>
      <w:r>
        <w:rPr>
          <w:rFonts w:eastAsia="仿宋_GB2312" w:cs="Times New Roman"/>
          <w:sz w:val="32"/>
          <w:szCs w:val="32"/>
        </w:rPr>
        <w:t>25.3%</w:t>
      </w:r>
      <w:r>
        <w:rPr>
          <w:rFonts w:hint="eastAsia" w:eastAsia="仿宋_GB2312" w:cs="Times New Roman"/>
          <w:sz w:val="32"/>
          <w:szCs w:val="32"/>
        </w:rPr>
        <w:t>，一般公共预算收入完成</w:t>
      </w:r>
      <w:r>
        <w:rPr>
          <w:rFonts w:eastAsia="仿宋_GB2312" w:cs="Times New Roman"/>
          <w:sz w:val="32"/>
          <w:szCs w:val="32"/>
        </w:rPr>
        <w:t>9.66</w:t>
      </w:r>
      <w:r>
        <w:rPr>
          <w:rFonts w:hint="eastAsia" w:eastAsia="仿宋_GB2312" w:cs="Times New Roman"/>
          <w:sz w:val="32"/>
          <w:szCs w:val="32"/>
        </w:rPr>
        <w:t>亿元，同比增长</w:t>
      </w:r>
      <w:r>
        <w:rPr>
          <w:rFonts w:eastAsia="仿宋_GB2312" w:cs="Times New Roman"/>
          <w:sz w:val="32"/>
          <w:szCs w:val="32"/>
        </w:rPr>
        <w:t>16.9%</w:t>
      </w:r>
      <w:r>
        <w:rPr>
          <w:rFonts w:hint="eastAsia" w:eastAsia="仿宋_GB2312" w:cs="Times New Roman"/>
          <w:sz w:val="32"/>
          <w:szCs w:val="32"/>
        </w:rPr>
        <w:t>；规模以上工业增加值完成</w:t>
      </w:r>
      <w:r>
        <w:rPr>
          <w:rFonts w:eastAsia="仿宋_GB2312" w:cs="Times New Roman"/>
          <w:sz w:val="32"/>
          <w:szCs w:val="32"/>
        </w:rPr>
        <w:t>49.95</w:t>
      </w:r>
      <w:r>
        <w:rPr>
          <w:rFonts w:hint="eastAsia" w:eastAsia="仿宋_GB2312" w:cs="Times New Roman"/>
          <w:sz w:val="32"/>
          <w:szCs w:val="32"/>
        </w:rPr>
        <w:t>亿元，同比增长</w:t>
      </w:r>
      <w:r>
        <w:rPr>
          <w:rFonts w:eastAsia="仿宋_GB2312" w:cs="Times New Roman"/>
          <w:sz w:val="32"/>
          <w:szCs w:val="32"/>
        </w:rPr>
        <w:t>6%</w:t>
      </w:r>
      <w:r>
        <w:rPr>
          <w:rFonts w:hint="eastAsia" w:eastAsia="仿宋_GB2312" w:cs="Times New Roman"/>
          <w:sz w:val="32"/>
          <w:szCs w:val="32"/>
        </w:rPr>
        <w:t>；固定资产投资完成</w:t>
      </w:r>
      <w:r>
        <w:rPr>
          <w:rFonts w:eastAsia="仿宋_GB2312" w:cs="Times New Roman"/>
          <w:sz w:val="32"/>
          <w:szCs w:val="32"/>
        </w:rPr>
        <w:t>152.8</w:t>
      </w:r>
      <w:r>
        <w:rPr>
          <w:rFonts w:hint="eastAsia" w:eastAsia="仿宋_GB2312" w:cs="Times New Roman"/>
          <w:sz w:val="32"/>
          <w:szCs w:val="32"/>
        </w:rPr>
        <w:t>亿元，投资规模保持在合理区间；社会消费品零售额完成</w:t>
      </w:r>
      <w:r>
        <w:rPr>
          <w:rFonts w:eastAsia="仿宋_GB2312" w:cs="Times New Roman"/>
          <w:sz w:val="32"/>
          <w:szCs w:val="32"/>
        </w:rPr>
        <w:t>73.2</w:t>
      </w:r>
      <w:r>
        <w:rPr>
          <w:rFonts w:hint="eastAsia" w:eastAsia="仿宋_GB2312" w:cs="Times New Roman"/>
          <w:sz w:val="32"/>
          <w:szCs w:val="32"/>
        </w:rPr>
        <w:t>亿元，同比增长</w:t>
      </w:r>
      <w:r>
        <w:rPr>
          <w:rFonts w:eastAsia="仿宋_GB2312" w:cs="Times New Roman"/>
          <w:sz w:val="32"/>
          <w:szCs w:val="32"/>
        </w:rPr>
        <w:t>10.7%</w:t>
      </w:r>
      <w:r>
        <w:rPr>
          <w:rFonts w:hint="eastAsia" w:eastAsia="仿宋_GB2312" w:cs="Times New Roman"/>
          <w:sz w:val="32"/>
          <w:szCs w:val="32"/>
        </w:rPr>
        <w:t>；城镇居民人均可支配收入达到</w:t>
      </w:r>
      <w:r>
        <w:rPr>
          <w:rFonts w:eastAsia="仿宋_GB2312" w:cs="Times New Roman"/>
          <w:sz w:val="32"/>
          <w:szCs w:val="32"/>
        </w:rPr>
        <w:t>35050</w:t>
      </w:r>
      <w:r>
        <w:rPr>
          <w:rFonts w:hint="eastAsia" w:eastAsia="仿宋_GB2312" w:cs="Times New Roman"/>
          <w:sz w:val="32"/>
          <w:szCs w:val="32"/>
        </w:rPr>
        <w:t>元，同比增长</w:t>
      </w:r>
      <w:r>
        <w:rPr>
          <w:rFonts w:eastAsia="仿宋_GB2312" w:cs="Times New Roman"/>
          <w:sz w:val="32"/>
          <w:szCs w:val="32"/>
        </w:rPr>
        <w:t>8.5%</w:t>
      </w:r>
      <w:r>
        <w:rPr>
          <w:rFonts w:hint="eastAsia" w:eastAsia="仿宋_GB2312" w:cs="Times New Roman"/>
          <w:sz w:val="32"/>
          <w:szCs w:val="32"/>
        </w:rPr>
        <w:t>；农村居民人均可支配收入达到</w:t>
      </w:r>
      <w:r>
        <w:rPr>
          <w:rFonts w:eastAsia="仿宋_GB2312" w:cs="Times New Roman"/>
          <w:sz w:val="32"/>
          <w:szCs w:val="32"/>
        </w:rPr>
        <w:t>15388</w:t>
      </w:r>
      <w:r>
        <w:rPr>
          <w:rFonts w:hint="eastAsia" w:eastAsia="仿宋_GB2312" w:cs="Times New Roman"/>
          <w:sz w:val="32"/>
          <w:szCs w:val="32"/>
        </w:rPr>
        <w:t>元，同比增长</w:t>
      </w:r>
      <w:r>
        <w:rPr>
          <w:rFonts w:eastAsia="仿宋_GB2312" w:cs="Times New Roman"/>
          <w:sz w:val="32"/>
          <w:szCs w:val="32"/>
        </w:rPr>
        <w:t>8.2%</w:t>
      </w:r>
      <w:r>
        <w:rPr>
          <w:rFonts w:hint="eastAsia" w:eastAsia="仿宋_GB2312" w:cs="Times New Roman"/>
          <w:sz w:val="32"/>
          <w:szCs w:val="32"/>
        </w:rPr>
        <w:t>。</w:t>
      </w:r>
    </w:p>
    <w:p>
      <w:pPr>
        <w:pStyle w:val="4"/>
        <w:spacing w:line="590" w:lineRule="exact"/>
        <w:ind w:firstLine="643"/>
      </w:pPr>
      <w:bookmarkStart w:id="191" w:name="_Toc32173"/>
      <w:bookmarkStart w:id="192" w:name="_Toc19054"/>
      <w:r>
        <w:t>2.7.2</w:t>
      </w:r>
      <w:r>
        <w:rPr>
          <w:rFonts w:hint="eastAsia"/>
        </w:rPr>
        <w:t>霸州市</w:t>
      </w:r>
      <w:bookmarkEnd w:id="191"/>
      <w:bookmarkEnd w:id="192"/>
    </w:p>
    <w:p>
      <w:pPr>
        <w:spacing w:line="590" w:lineRule="exact"/>
        <w:ind w:firstLine="640"/>
        <w:rPr>
          <w:rFonts w:eastAsia="仿宋_GB2312" w:cs="Times New Roman"/>
          <w:sz w:val="32"/>
          <w:szCs w:val="32"/>
        </w:rPr>
      </w:pPr>
      <w:r>
        <w:rPr>
          <w:rFonts w:hint="eastAsia" w:eastAsia="仿宋_GB2312" w:cs="Times New Roman"/>
          <w:sz w:val="32"/>
          <w:szCs w:val="32"/>
        </w:rPr>
        <w:t>河北省霸州市地处东经</w:t>
      </w:r>
      <w:r>
        <w:rPr>
          <w:rFonts w:eastAsia="仿宋_GB2312" w:cs="Times New Roman"/>
          <w:sz w:val="32"/>
          <w:szCs w:val="32"/>
        </w:rPr>
        <w:t>116°15′</w:t>
      </w:r>
      <w:r>
        <w:rPr>
          <w:rFonts w:hint="eastAsia" w:eastAsia="仿宋_GB2312" w:cs="Times New Roman"/>
          <w:sz w:val="32"/>
          <w:szCs w:val="32"/>
        </w:rPr>
        <w:t>～</w:t>
      </w:r>
      <w:r>
        <w:rPr>
          <w:rFonts w:eastAsia="仿宋_GB2312" w:cs="Times New Roman"/>
          <w:sz w:val="32"/>
          <w:szCs w:val="32"/>
        </w:rPr>
        <w:t>116°55′</w:t>
      </w:r>
      <w:r>
        <w:rPr>
          <w:rFonts w:hint="eastAsia" w:eastAsia="仿宋_GB2312" w:cs="Times New Roman"/>
          <w:sz w:val="32"/>
          <w:szCs w:val="32"/>
        </w:rPr>
        <w:t>，北纬</w:t>
      </w:r>
      <w:r>
        <w:rPr>
          <w:rFonts w:eastAsia="仿宋_GB2312" w:cs="Times New Roman"/>
          <w:sz w:val="32"/>
          <w:szCs w:val="32"/>
        </w:rPr>
        <w:t>38°59′</w:t>
      </w:r>
      <w:r>
        <w:rPr>
          <w:rFonts w:hint="eastAsia" w:eastAsia="仿宋_GB2312" w:cs="Times New Roman"/>
          <w:sz w:val="32"/>
          <w:szCs w:val="32"/>
        </w:rPr>
        <w:t>～</w:t>
      </w:r>
      <w:r>
        <w:rPr>
          <w:rFonts w:eastAsia="仿宋_GB2312" w:cs="Times New Roman"/>
          <w:sz w:val="32"/>
          <w:szCs w:val="32"/>
        </w:rPr>
        <w:t>38°13′</w:t>
      </w:r>
      <w:r>
        <w:rPr>
          <w:rFonts w:hint="eastAsia" w:eastAsia="仿宋_GB2312" w:cs="Times New Roman"/>
          <w:sz w:val="32"/>
          <w:szCs w:val="32"/>
        </w:rPr>
        <w:t>，东邻天津市和武清区，西接雄县，南邻静海区和文安县，北与固安县、永清县及廊坊市接壤。霸州市位于京、津、保三角中心，北距北京市</w:t>
      </w:r>
      <w:r>
        <w:rPr>
          <w:rFonts w:eastAsia="仿宋_GB2312" w:cs="Times New Roman"/>
          <w:sz w:val="32"/>
          <w:szCs w:val="32"/>
        </w:rPr>
        <w:t>90</w:t>
      </w:r>
      <w:r>
        <w:rPr>
          <w:rFonts w:hint="eastAsia" w:eastAsia="仿宋_GB2312" w:cs="Times New Roman"/>
          <w:sz w:val="32"/>
          <w:szCs w:val="32"/>
        </w:rPr>
        <w:t>公里，东距天津市</w:t>
      </w:r>
      <w:r>
        <w:rPr>
          <w:rFonts w:eastAsia="仿宋_GB2312" w:cs="Times New Roman"/>
          <w:sz w:val="32"/>
          <w:szCs w:val="32"/>
        </w:rPr>
        <w:t>74</w:t>
      </w:r>
      <w:r>
        <w:rPr>
          <w:rFonts w:hint="eastAsia" w:eastAsia="仿宋_GB2312" w:cs="Times New Roman"/>
          <w:sz w:val="32"/>
          <w:szCs w:val="32"/>
        </w:rPr>
        <w:t>公里，西距保定市</w:t>
      </w:r>
      <w:r>
        <w:rPr>
          <w:rFonts w:eastAsia="仿宋_GB2312" w:cs="Times New Roman"/>
          <w:sz w:val="32"/>
          <w:szCs w:val="32"/>
        </w:rPr>
        <w:t>90</w:t>
      </w:r>
      <w:r>
        <w:rPr>
          <w:rFonts w:hint="eastAsia" w:eastAsia="仿宋_GB2312" w:cs="Times New Roman"/>
          <w:sz w:val="32"/>
          <w:szCs w:val="32"/>
        </w:rPr>
        <w:t>公里。横穿市域东西的津宝公路（</w:t>
      </w:r>
      <w:r>
        <w:rPr>
          <w:rFonts w:eastAsia="仿宋_GB2312" w:cs="Times New Roman"/>
          <w:sz w:val="32"/>
          <w:szCs w:val="32"/>
        </w:rPr>
        <w:t>112</w:t>
      </w:r>
      <w:r>
        <w:rPr>
          <w:rFonts w:hint="eastAsia" w:eastAsia="仿宋_GB2312" w:cs="Times New Roman"/>
          <w:sz w:val="32"/>
          <w:szCs w:val="32"/>
        </w:rPr>
        <w:t>国道）为我国华北西南地区入津的重要通道，而纵贯南北的京开公路（</w:t>
      </w:r>
      <w:r>
        <w:rPr>
          <w:rFonts w:eastAsia="仿宋_GB2312" w:cs="Times New Roman"/>
          <w:sz w:val="32"/>
          <w:szCs w:val="32"/>
        </w:rPr>
        <w:t>106</w:t>
      </w:r>
      <w:r>
        <w:rPr>
          <w:rFonts w:hint="eastAsia" w:eastAsia="仿宋_GB2312" w:cs="Times New Roman"/>
          <w:sz w:val="32"/>
          <w:szCs w:val="32"/>
        </w:rPr>
        <w:t>国道）为我国广大地区进京的交通干道之一。</w:t>
      </w:r>
    </w:p>
    <w:p>
      <w:pPr>
        <w:spacing w:line="590" w:lineRule="exact"/>
        <w:ind w:firstLine="640"/>
        <w:rPr>
          <w:rFonts w:eastAsia="仿宋_GB2312" w:cs="Times New Roman"/>
          <w:sz w:val="32"/>
          <w:szCs w:val="32"/>
        </w:rPr>
      </w:pPr>
      <w:r>
        <w:rPr>
          <w:rFonts w:eastAsia="仿宋_GB2312" w:cs="Times New Roman"/>
          <w:sz w:val="32"/>
          <w:szCs w:val="32"/>
        </w:rPr>
        <w:t>2017</w:t>
      </w:r>
      <w:r>
        <w:rPr>
          <w:rFonts w:hint="eastAsia" w:eastAsia="仿宋_GB2312" w:cs="Times New Roman"/>
          <w:sz w:val="32"/>
          <w:szCs w:val="32"/>
        </w:rPr>
        <w:t>年，霸州市全市地区生产总值完成</w:t>
      </w:r>
      <w:r>
        <w:rPr>
          <w:rFonts w:eastAsia="仿宋_GB2312" w:cs="Times New Roman"/>
          <w:sz w:val="32"/>
          <w:szCs w:val="32"/>
        </w:rPr>
        <w:t>433.7</w:t>
      </w:r>
      <w:r>
        <w:rPr>
          <w:rFonts w:hint="eastAsia" w:eastAsia="仿宋_GB2312" w:cs="Times New Roman"/>
          <w:sz w:val="32"/>
          <w:szCs w:val="32"/>
        </w:rPr>
        <w:t>亿元，同比增长</w:t>
      </w:r>
      <w:r>
        <w:rPr>
          <w:rFonts w:eastAsia="仿宋_GB2312" w:cs="Times New Roman"/>
          <w:sz w:val="32"/>
          <w:szCs w:val="32"/>
        </w:rPr>
        <w:t>3.4%</w:t>
      </w:r>
      <w:r>
        <w:rPr>
          <w:rFonts w:hint="eastAsia" w:eastAsia="仿宋_GB2312" w:cs="Times New Roman"/>
          <w:sz w:val="32"/>
          <w:szCs w:val="32"/>
        </w:rPr>
        <w:t>；全部财政收入完成</w:t>
      </w:r>
      <w:r>
        <w:rPr>
          <w:rFonts w:eastAsia="仿宋_GB2312" w:cs="Times New Roman"/>
          <w:sz w:val="32"/>
          <w:szCs w:val="32"/>
        </w:rPr>
        <w:t>42.8</w:t>
      </w:r>
      <w:r>
        <w:rPr>
          <w:rFonts w:hint="eastAsia" w:eastAsia="仿宋_GB2312" w:cs="Times New Roman"/>
          <w:sz w:val="32"/>
          <w:szCs w:val="32"/>
        </w:rPr>
        <w:t>亿元，同比增长</w:t>
      </w:r>
      <w:r>
        <w:rPr>
          <w:rFonts w:eastAsia="仿宋_GB2312" w:cs="Times New Roman"/>
          <w:sz w:val="32"/>
          <w:szCs w:val="32"/>
        </w:rPr>
        <w:t>18.9%</w:t>
      </w:r>
      <w:r>
        <w:rPr>
          <w:rFonts w:hint="eastAsia" w:eastAsia="仿宋_GB2312" w:cs="Times New Roman"/>
          <w:sz w:val="32"/>
          <w:szCs w:val="32"/>
        </w:rPr>
        <w:t>，其中，一般公共预算收入完成</w:t>
      </w:r>
      <w:r>
        <w:rPr>
          <w:rFonts w:eastAsia="仿宋_GB2312" w:cs="Times New Roman"/>
          <w:sz w:val="32"/>
          <w:szCs w:val="32"/>
        </w:rPr>
        <w:t>23.5</w:t>
      </w:r>
      <w:r>
        <w:rPr>
          <w:rFonts w:hint="eastAsia" w:eastAsia="仿宋_GB2312" w:cs="Times New Roman"/>
          <w:sz w:val="32"/>
          <w:szCs w:val="32"/>
        </w:rPr>
        <w:t>亿元，同比增长</w:t>
      </w:r>
      <w:r>
        <w:rPr>
          <w:rFonts w:eastAsia="仿宋_GB2312" w:cs="Times New Roman"/>
          <w:sz w:val="32"/>
          <w:szCs w:val="32"/>
        </w:rPr>
        <w:t>7.4%</w:t>
      </w:r>
      <w:r>
        <w:rPr>
          <w:rFonts w:hint="eastAsia" w:eastAsia="仿宋_GB2312" w:cs="Times New Roman"/>
          <w:sz w:val="32"/>
          <w:szCs w:val="32"/>
        </w:rPr>
        <w:t>；固定资产投资完成</w:t>
      </w:r>
      <w:r>
        <w:rPr>
          <w:rFonts w:eastAsia="仿宋_GB2312" w:cs="Times New Roman"/>
          <w:sz w:val="32"/>
          <w:szCs w:val="32"/>
        </w:rPr>
        <w:t>367.8</w:t>
      </w:r>
      <w:r>
        <w:rPr>
          <w:rFonts w:hint="eastAsia" w:eastAsia="仿宋_GB2312" w:cs="Times New Roman"/>
          <w:sz w:val="32"/>
          <w:szCs w:val="32"/>
        </w:rPr>
        <w:t>亿元，同比增长</w:t>
      </w:r>
      <w:r>
        <w:rPr>
          <w:rFonts w:eastAsia="仿宋_GB2312" w:cs="Times New Roman"/>
          <w:sz w:val="32"/>
          <w:szCs w:val="32"/>
        </w:rPr>
        <w:t>11.8%</w:t>
      </w:r>
      <w:r>
        <w:rPr>
          <w:rFonts w:hint="eastAsia" w:eastAsia="仿宋_GB2312" w:cs="Times New Roman"/>
          <w:sz w:val="32"/>
          <w:szCs w:val="32"/>
        </w:rPr>
        <w:t>；城镇和农村居民人均可支配收入分别达到</w:t>
      </w:r>
      <w:r>
        <w:rPr>
          <w:rFonts w:eastAsia="仿宋_GB2312" w:cs="Times New Roman"/>
          <w:sz w:val="32"/>
          <w:szCs w:val="32"/>
        </w:rPr>
        <w:t>39862</w:t>
      </w:r>
      <w:r>
        <w:rPr>
          <w:rFonts w:hint="eastAsia" w:eastAsia="仿宋_GB2312" w:cs="Times New Roman"/>
          <w:sz w:val="32"/>
          <w:szCs w:val="32"/>
        </w:rPr>
        <w:t>元和</w:t>
      </w:r>
      <w:r>
        <w:rPr>
          <w:rFonts w:eastAsia="仿宋_GB2312" w:cs="Times New Roman"/>
          <w:sz w:val="32"/>
          <w:szCs w:val="32"/>
        </w:rPr>
        <w:t>15948</w:t>
      </w:r>
      <w:r>
        <w:rPr>
          <w:rFonts w:hint="eastAsia" w:eastAsia="仿宋_GB2312" w:cs="Times New Roman"/>
          <w:sz w:val="32"/>
          <w:szCs w:val="32"/>
        </w:rPr>
        <w:t>元，同比分别增长</w:t>
      </w:r>
      <w:r>
        <w:rPr>
          <w:rFonts w:eastAsia="仿宋_GB2312" w:cs="Times New Roman"/>
          <w:sz w:val="32"/>
          <w:szCs w:val="32"/>
        </w:rPr>
        <w:t>8.1%</w:t>
      </w:r>
      <w:r>
        <w:rPr>
          <w:rFonts w:hint="eastAsia" w:eastAsia="仿宋_GB2312" w:cs="Times New Roman"/>
          <w:sz w:val="32"/>
          <w:szCs w:val="32"/>
        </w:rPr>
        <w:t>和</w:t>
      </w:r>
      <w:r>
        <w:rPr>
          <w:rFonts w:eastAsia="仿宋_GB2312" w:cs="Times New Roman"/>
          <w:sz w:val="32"/>
          <w:szCs w:val="32"/>
        </w:rPr>
        <w:t>7.9%</w:t>
      </w:r>
      <w:r>
        <w:rPr>
          <w:rFonts w:hint="eastAsia" w:eastAsia="仿宋_GB2312" w:cs="Times New Roman"/>
          <w:sz w:val="32"/>
          <w:szCs w:val="32"/>
        </w:rPr>
        <w:t>；全市三次产业比由</w:t>
      </w:r>
      <w:r>
        <w:rPr>
          <w:rFonts w:eastAsia="仿宋_GB2312" w:cs="Times New Roman"/>
          <w:sz w:val="32"/>
          <w:szCs w:val="32"/>
        </w:rPr>
        <w:t>4.5:61.5:34</w:t>
      </w:r>
      <w:r>
        <w:rPr>
          <w:rFonts w:hint="eastAsia" w:eastAsia="仿宋_GB2312" w:cs="Times New Roman"/>
          <w:sz w:val="32"/>
          <w:szCs w:val="32"/>
        </w:rPr>
        <w:t>调整为</w:t>
      </w:r>
      <w:r>
        <w:rPr>
          <w:rFonts w:eastAsia="仿宋_GB2312" w:cs="Times New Roman"/>
          <w:sz w:val="32"/>
          <w:szCs w:val="32"/>
        </w:rPr>
        <w:t>3.6</w:t>
      </w:r>
      <w:r>
        <w:rPr>
          <w:rFonts w:hint="eastAsia" w:eastAsia="仿宋_GB2312" w:cs="Times New Roman"/>
          <w:sz w:val="32"/>
          <w:szCs w:val="32"/>
        </w:rPr>
        <w:t>：</w:t>
      </w:r>
      <w:r>
        <w:rPr>
          <w:rFonts w:eastAsia="仿宋_GB2312" w:cs="Times New Roman"/>
          <w:sz w:val="32"/>
          <w:szCs w:val="32"/>
        </w:rPr>
        <w:t>58.1</w:t>
      </w:r>
      <w:r>
        <w:rPr>
          <w:rFonts w:hint="eastAsia" w:eastAsia="仿宋_GB2312" w:cs="Times New Roman"/>
          <w:sz w:val="32"/>
          <w:szCs w:val="32"/>
        </w:rPr>
        <w:t>：</w:t>
      </w:r>
      <w:r>
        <w:rPr>
          <w:rFonts w:eastAsia="仿宋_GB2312" w:cs="Times New Roman"/>
          <w:sz w:val="32"/>
          <w:szCs w:val="32"/>
        </w:rPr>
        <w:t>38.3</w:t>
      </w:r>
      <w:r>
        <w:rPr>
          <w:rFonts w:hint="eastAsia" w:eastAsia="仿宋_GB2312" w:cs="Times New Roman"/>
          <w:sz w:val="32"/>
          <w:szCs w:val="32"/>
        </w:rPr>
        <w:t>，二产下降</w:t>
      </w:r>
      <w:r>
        <w:rPr>
          <w:rFonts w:eastAsia="仿宋_GB2312" w:cs="Times New Roman"/>
          <w:sz w:val="32"/>
          <w:szCs w:val="32"/>
        </w:rPr>
        <w:t>3.4</w:t>
      </w:r>
      <w:r>
        <w:rPr>
          <w:rFonts w:hint="eastAsia" w:eastAsia="仿宋_GB2312" w:cs="Times New Roman"/>
          <w:sz w:val="32"/>
          <w:szCs w:val="32"/>
        </w:rPr>
        <w:t>个百分点，三产提高</w:t>
      </w:r>
      <w:r>
        <w:rPr>
          <w:rFonts w:eastAsia="仿宋_GB2312" w:cs="Times New Roman"/>
          <w:sz w:val="32"/>
          <w:szCs w:val="32"/>
        </w:rPr>
        <w:t>4.3</w:t>
      </w:r>
      <w:r>
        <w:rPr>
          <w:rFonts w:hint="eastAsia" w:eastAsia="仿宋_GB2312" w:cs="Times New Roman"/>
          <w:sz w:val="32"/>
          <w:szCs w:val="32"/>
        </w:rPr>
        <w:t>个百分点。</w:t>
      </w:r>
    </w:p>
    <w:p>
      <w:pPr>
        <w:pStyle w:val="2"/>
        <w:spacing w:line="590" w:lineRule="exact"/>
        <w:ind w:firstLine="640"/>
        <w:rPr>
          <w:szCs w:val="32"/>
        </w:rPr>
      </w:pPr>
      <w:bookmarkStart w:id="193" w:name="_Toc24033"/>
      <w:r>
        <w:rPr>
          <w:rFonts w:hint="eastAsia"/>
          <w:szCs w:val="32"/>
        </w:rPr>
        <w:t>三、水环境形势状况分析</w:t>
      </w:r>
      <w:bookmarkEnd w:id="193"/>
    </w:p>
    <w:p>
      <w:pPr>
        <w:pStyle w:val="3"/>
        <w:spacing w:line="590" w:lineRule="exact"/>
        <w:ind w:firstLine="643"/>
        <w:rPr>
          <w:rFonts w:eastAsia="楷体_GB2312"/>
        </w:rPr>
      </w:pPr>
      <w:bookmarkStart w:id="194" w:name="_Toc4238"/>
      <w:r>
        <w:rPr>
          <w:rFonts w:eastAsia="楷体_GB2312"/>
        </w:rPr>
        <w:t>3.1</w:t>
      </w:r>
      <w:r>
        <w:rPr>
          <w:rFonts w:hint="eastAsia" w:eastAsia="楷体_GB2312"/>
        </w:rPr>
        <w:t>水质考核要求</w:t>
      </w:r>
      <w:bookmarkEnd w:id="194"/>
    </w:p>
    <w:p>
      <w:pPr>
        <w:spacing w:line="590" w:lineRule="exact"/>
        <w:ind w:firstLine="640"/>
        <w:rPr>
          <w:rFonts w:eastAsia="仿宋_GB2312" w:cs="Times New Roman"/>
          <w:sz w:val="32"/>
          <w:szCs w:val="32"/>
        </w:rPr>
      </w:pPr>
      <w:r>
        <w:rPr>
          <w:rFonts w:hint="eastAsia" w:eastAsia="仿宋_GB2312" w:cs="Times New Roman"/>
          <w:sz w:val="32"/>
          <w:szCs w:val="32"/>
        </w:rPr>
        <w:t>大清河台头断面是</w:t>
      </w:r>
      <w:r>
        <w:rPr>
          <w:rFonts w:eastAsia="仿宋_GB2312" w:cs="Times New Roman"/>
          <w:sz w:val="32"/>
          <w:szCs w:val="32"/>
        </w:rPr>
        <w:t>“</w:t>
      </w:r>
      <w:r>
        <w:rPr>
          <w:rFonts w:hint="eastAsia" w:eastAsia="仿宋_GB2312" w:cs="Times New Roman"/>
          <w:sz w:val="32"/>
          <w:szCs w:val="32"/>
        </w:rPr>
        <w:t>十三五</w:t>
      </w:r>
      <w:r>
        <w:rPr>
          <w:rFonts w:eastAsia="仿宋_GB2312" w:cs="Times New Roman"/>
          <w:sz w:val="32"/>
          <w:szCs w:val="32"/>
        </w:rPr>
        <w:t>”</w:t>
      </w:r>
      <w:r>
        <w:rPr>
          <w:rFonts w:hint="eastAsia" w:eastAsia="仿宋_GB2312" w:cs="Times New Roman"/>
          <w:sz w:val="32"/>
          <w:szCs w:val="32"/>
        </w:rPr>
        <w:t>国家考核断面，考核目标为自</w:t>
      </w:r>
      <w:r>
        <w:rPr>
          <w:rFonts w:eastAsia="仿宋_GB2312" w:cs="Times New Roman"/>
          <w:sz w:val="32"/>
          <w:szCs w:val="32"/>
        </w:rPr>
        <w:t>2018</w:t>
      </w:r>
      <w:r>
        <w:rPr>
          <w:rFonts w:hint="eastAsia" w:eastAsia="仿宋_GB2312" w:cs="Times New Roman"/>
          <w:sz w:val="32"/>
          <w:szCs w:val="32"/>
        </w:rPr>
        <w:t>年起水质达到地表水Ｖ类水质标准。石沟干渠石沟扬水站断面、中亭河胜芳桥断面、老大清河王圪垯断面是</w:t>
      </w:r>
      <w:r>
        <w:rPr>
          <w:rFonts w:eastAsia="仿宋_GB2312" w:cs="Times New Roman"/>
          <w:sz w:val="32"/>
          <w:szCs w:val="32"/>
        </w:rPr>
        <w:t>“</w:t>
      </w:r>
      <w:r>
        <w:rPr>
          <w:rFonts w:hint="eastAsia" w:eastAsia="仿宋_GB2312" w:cs="Times New Roman"/>
          <w:sz w:val="32"/>
          <w:szCs w:val="32"/>
        </w:rPr>
        <w:t>十三五</w:t>
      </w:r>
      <w:r>
        <w:rPr>
          <w:rFonts w:eastAsia="仿宋_GB2312" w:cs="Times New Roman"/>
          <w:sz w:val="32"/>
          <w:szCs w:val="32"/>
        </w:rPr>
        <w:t>”</w:t>
      </w:r>
      <w:r>
        <w:rPr>
          <w:rFonts w:hint="eastAsia" w:eastAsia="仿宋_GB2312" w:cs="Times New Roman"/>
          <w:sz w:val="32"/>
          <w:szCs w:val="32"/>
        </w:rPr>
        <w:t>市控断面，考核目标为地表水Ｖ类水质标准。</w:t>
      </w:r>
    </w:p>
    <w:p>
      <w:pPr>
        <w:spacing w:line="580" w:lineRule="exact"/>
        <w:ind w:firstLine="640"/>
        <w:rPr>
          <w:rFonts w:eastAsia="仿宋_GB2312" w:cs="Times New Roman"/>
          <w:sz w:val="32"/>
          <w:szCs w:val="32"/>
        </w:rPr>
      </w:pPr>
      <w:r>
        <w:rPr>
          <w:rFonts w:hint="eastAsia" w:eastAsia="仿宋_GB2312" w:cs="Times New Roman"/>
          <w:sz w:val="32"/>
          <w:szCs w:val="32"/>
        </w:rPr>
        <w:t>国控断面水质评价数据采用国家监测数据，其他断面水质评价数据采用廊坊市监测数据。水质评价采用单因子标准指数法进行评价，评价指标与方法参考《地表水环境质量评价办法》（环办〔</w:t>
      </w:r>
      <w:r>
        <w:rPr>
          <w:rFonts w:eastAsia="仿宋_GB2312" w:cs="Times New Roman"/>
          <w:sz w:val="32"/>
          <w:szCs w:val="32"/>
        </w:rPr>
        <w:t>2011</w:t>
      </w:r>
      <w:r>
        <w:rPr>
          <w:rFonts w:hint="eastAsia" w:eastAsia="仿宋_GB2312" w:cs="Times New Roman"/>
          <w:sz w:val="32"/>
          <w:szCs w:val="32"/>
        </w:rPr>
        <w:t>〕</w:t>
      </w:r>
      <w:r>
        <w:rPr>
          <w:rFonts w:eastAsia="仿宋_GB2312" w:cs="Times New Roman"/>
          <w:sz w:val="32"/>
          <w:szCs w:val="32"/>
        </w:rPr>
        <w:t>22</w:t>
      </w:r>
      <w:r>
        <w:rPr>
          <w:rFonts w:hint="eastAsia" w:eastAsia="仿宋_GB2312" w:cs="Times New Roman"/>
          <w:sz w:val="32"/>
          <w:szCs w:val="32"/>
        </w:rPr>
        <w:t>号）、《地表水环境质量标准》（</w:t>
      </w:r>
      <w:r>
        <w:rPr>
          <w:rFonts w:eastAsia="仿宋_GB2312" w:cs="Times New Roman"/>
          <w:sz w:val="32"/>
          <w:szCs w:val="32"/>
        </w:rPr>
        <w:t>GB3838</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）的有关内容。</w:t>
      </w:r>
    </w:p>
    <w:p>
      <w:pPr>
        <w:pStyle w:val="3"/>
        <w:spacing w:line="580" w:lineRule="exact"/>
        <w:ind w:firstLine="643"/>
        <w:rPr>
          <w:rFonts w:eastAsia="楷体_GB2312"/>
        </w:rPr>
      </w:pPr>
      <w:bookmarkStart w:id="195" w:name="_Toc10582"/>
      <w:r>
        <w:rPr>
          <w:rFonts w:eastAsia="楷体_GB2312"/>
        </w:rPr>
        <w:t>3.2</w:t>
      </w:r>
      <w:r>
        <w:rPr>
          <w:rFonts w:hint="eastAsia" w:eastAsia="楷体_GB2312"/>
        </w:rPr>
        <w:t>水环境质量状况与差距分析</w:t>
      </w:r>
      <w:bookmarkEnd w:id="195"/>
    </w:p>
    <w:p>
      <w:pPr>
        <w:spacing w:line="580" w:lineRule="exact"/>
        <w:ind w:firstLine="640"/>
        <w:rPr>
          <w:rFonts w:eastAsia="仿宋_GB2312" w:cs="Times New Roman"/>
          <w:sz w:val="32"/>
          <w:szCs w:val="32"/>
        </w:rPr>
      </w:pPr>
      <w:r>
        <w:rPr>
          <w:rFonts w:hint="eastAsia" w:eastAsia="仿宋_GB2312" w:cs="Times New Roman"/>
          <w:sz w:val="32"/>
          <w:szCs w:val="32"/>
        </w:rPr>
        <w:t>从考核断面</w:t>
      </w:r>
      <w:r>
        <w:rPr>
          <w:rFonts w:eastAsia="仿宋_GB2312" w:cs="Times New Roman"/>
          <w:sz w:val="32"/>
          <w:szCs w:val="32"/>
        </w:rPr>
        <w:t>2018</w:t>
      </w:r>
      <w:r>
        <w:rPr>
          <w:rFonts w:hint="eastAsia" w:eastAsia="仿宋_GB2312" w:cs="Times New Roman"/>
          <w:sz w:val="32"/>
          <w:szCs w:val="32"/>
        </w:rPr>
        <w:t>年水质年均值来看，大清河台头断面水质类别为劣</w:t>
      </w:r>
      <w:r>
        <w:rPr>
          <w:rFonts w:eastAsia="仿宋_GB2312" w:cs="Times New Roman"/>
          <w:sz w:val="32"/>
          <w:szCs w:val="32"/>
        </w:rPr>
        <w:t>V</w:t>
      </w:r>
      <w:r>
        <w:rPr>
          <w:rFonts w:hint="eastAsia" w:eastAsia="仿宋_GB2312" w:cs="Times New Roman"/>
          <w:sz w:val="32"/>
          <w:szCs w:val="32"/>
        </w:rPr>
        <w:t>类，水质未达到</w:t>
      </w:r>
      <w:r>
        <w:rPr>
          <w:rFonts w:eastAsia="仿宋_GB2312" w:cs="Times New Roman"/>
          <w:sz w:val="32"/>
          <w:szCs w:val="32"/>
        </w:rPr>
        <w:t>2020</w:t>
      </w:r>
      <w:r>
        <w:rPr>
          <w:rFonts w:hint="eastAsia" w:eastAsia="仿宋_GB2312" w:cs="Times New Roman"/>
          <w:sz w:val="32"/>
          <w:szCs w:val="32"/>
        </w:rPr>
        <w:t>年水质考核目标，超标指标为化学需氧量，超标倍数为</w:t>
      </w:r>
      <w:r>
        <w:rPr>
          <w:rFonts w:eastAsia="仿宋_GB2312" w:cs="Times New Roman"/>
          <w:sz w:val="32"/>
          <w:szCs w:val="32"/>
        </w:rPr>
        <w:t>0.1</w:t>
      </w:r>
      <w:r>
        <w:rPr>
          <w:rFonts w:hint="eastAsia" w:eastAsia="仿宋_GB2312" w:cs="Times New Roman"/>
          <w:sz w:val="32"/>
          <w:szCs w:val="32"/>
        </w:rPr>
        <w:t>倍。</w:t>
      </w:r>
    </w:p>
    <w:p>
      <w:pPr>
        <w:spacing w:after="221" w:afterLines="50" w:line="580" w:lineRule="exact"/>
        <w:ind w:firstLine="640"/>
        <w:rPr>
          <w:rFonts w:eastAsia="仿宋_GB2312" w:cs="Times New Roman"/>
          <w:sz w:val="32"/>
          <w:szCs w:val="32"/>
        </w:rPr>
      </w:pPr>
      <w:r>
        <w:rPr>
          <w:rFonts w:hint="eastAsia" w:eastAsia="仿宋_GB2312" w:cs="Times New Roman"/>
          <w:sz w:val="32"/>
          <w:szCs w:val="32"/>
        </w:rPr>
        <w:t>从考核断面</w:t>
      </w:r>
      <w:r>
        <w:rPr>
          <w:rFonts w:eastAsia="仿宋_GB2312" w:cs="Times New Roman"/>
          <w:sz w:val="32"/>
          <w:szCs w:val="32"/>
        </w:rPr>
        <w:t>2018</w:t>
      </w:r>
      <w:r>
        <w:rPr>
          <w:rFonts w:hint="eastAsia" w:eastAsia="仿宋_GB2312" w:cs="Times New Roman"/>
          <w:sz w:val="32"/>
          <w:szCs w:val="32"/>
        </w:rPr>
        <w:t>年各月值来看，台头断面除</w:t>
      </w:r>
      <w:r>
        <w:rPr>
          <w:rFonts w:eastAsia="仿宋_GB2312" w:cs="Times New Roman"/>
          <w:sz w:val="32"/>
          <w:szCs w:val="32"/>
        </w:rPr>
        <w:t>1</w:t>
      </w:r>
      <w:r>
        <w:rPr>
          <w:rFonts w:hint="eastAsia" w:eastAsia="仿宋_GB2312" w:cs="Times New Roman"/>
          <w:sz w:val="32"/>
          <w:szCs w:val="32"/>
        </w:rPr>
        <w:t>、</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6</w:t>
      </w: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w:t>
      </w:r>
      <w:r>
        <w:rPr>
          <w:rFonts w:eastAsia="仿宋_GB2312" w:cs="Times New Roman"/>
          <w:sz w:val="32"/>
          <w:szCs w:val="32"/>
        </w:rPr>
        <w:t>9</w:t>
      </w:r>
      <w:r>
        <w:rPr>
          <w:rFonts w:hint="eastAsia" w:eastAsia="仿宋_GB2312" w:cs="Times New Roman"/>
          <w:sz w:val="32"/>
          <w:szCs w:val="32"/>
        </w:rPr>
        <w:t>月外，其余月份水质均为劣</w:t>
      </w:r>
      <w:r>
        <w:rPr>
          <w:rFonts w:eastAsia="仿宋_GB2312" w:cs="Times New Roman"/>
          <w:sz w:val="32"/>
          <w:szCs w:val="32"/>
        </w:rPr>
        <w:t>V</w:t>
      </w:r>
      <w:r>
        <w:rPr>
          <w:rFonts w:hint="eastAsia" w:eastAsia="仿宋_GB2312" w:cs="Times New Roman"/>
          <w:sz w:val="32"/>
          <w:szCs w:val="32"/>
        </w:rPr>
        <w:t>类，水质达标率为</w:t>
      </w:r>
      <w:r>
        <w:rPr>
          <w:rFonts w:eastAsia="仿宋_GB2312" w:cs="Times New Roman"/>
          <w:sz w:val="32"/>
          <w:szCs w:val="32"/>
        </w:rPr>
        <w:t>41.7%</w:t>
      </w:r>
      <w:r>
        <w:rPr>
          <w:rFonts w:hint="eastAsia" w:eastAsia="仿宋_GB2312" w:cs="Times New Roman"/>
          <w:sz w:val="32"/>
          <w:szCs w:val="32"/>
        </w:rPr>
        <w:t>，主要超标指标为化学需氧量，最大超标倍数为</w:t>
      </w:r>
      <w:r>
        <w:rPr>
          <w:rFonts w:eastAsia="仿宋_GB2312" w:cs="Times New Roman"/>
          <w:sz w:val="32"/>
          <w:szCs w:val="32"/>
        </w:rPr>
        <w:t>0.6</w:t>
      </w:r>
      <w:r>
        <w:rPr>
          <w:rFonts w:hint="eastAsia" w:eastAsia="仿宋_GB2312" w:cs="Times New Roman"/>
          <w:sz w:val="32"/>
          <w:szCs w:val="32"/>
        </w:rPr>
        <w:t>倍。从</w:t>
      </w:r>
      <w:r>
        <w:rPr>
          <w:rFonts w:eastAsia="仿宋_GB2312" w:cs="Times New Roman"/>
          <w:sz w:val="32"/>
          <w:szCs w:val="32"/>
        </w:rPr>
        <w:t>2019</w:t>
      </w:r>
      <w:r>
        <w:rPr>
          <w:rFonts w:hint="eastAsia" w:eastAsia="仿宋_GB2312" w:cs="Times New Roman"/>
          <w:sz w:val="32"/>
          <w:szCs w:val="32"/>
        </w:rPr>
        <w:t>年</w:t>
      </w:r>
      <w:r>
        <w:rPr>
          <w:rFonts w:eastAsia="仿宋_GB2312" w:cs="Times New Roman"/>
          <w:sz w:val="32"/>
          <w:szCs w:val="32"/>
        </w:rPr>
        <w:t>1</w:t>
      </w:r>
      <w:r>
        <w:rPr>
          <w:rFonts w:hint="eastAsia" w:eastAsia="仿宋_GB2312" w:cs="Times New Roman"/>
          <w:sz w:val="32"/>
          <w:szCs w:val="32"/>
        </w:rPr>
        <w:t>—</w:t>
      </w:r>
      <w:r>
        <w:rPr>
          <w:rFonts w:eastAsia="仿宋_GB2312" w:cs="Times New Roman"/>
          <w:sz w:val="32"/>
          <w:szCs w:val="32"/>
        </w:rPr>
        <w:t>8</w:t>
      </w:r>
      <w:r>
        <w:rPr>
          <w:rFonts w:hint="eastAsia" w:eastAsia="仿宋_GB2312" w:cs="Times New Roman"/>
          <w:sz w:val="32"/>
          <w:szCs w:val="32"/>
        </w:rPr>
        <w:t>月水质来看，除</w:t>
      </w:r>
      <w:r>
        <w:rPr>
          <w:rFonts w:eastAsia="仿宋_GB2312" w:cs="Times New Roman"/>
          <w:sz w:val="32"/>
          <w:szCs w:val="32"/>
        </w:rPr>
        <w:t>3</w:t>
      </w:r>
      <w:r>
        <w:rPr>
          <w:rFonts w:hint="eastAsia" w:eastAsia="仿宋_GB2312" w:cs="Times New Roman"/>
          <w:sz w:val="32"/>
          <w:szCs w:val="32"/>
        </w:rPr>
        <w:t>、</w:t>
      </w:r>
      <w:r>
        <w:rPr>
          <w:rFonts w:eastAsia="仿宋_GB2312" w:cs="Times New Roman"/>
          <w:sz w:val="32"/>
          <w:szCs w:val="32"/>
        </w:rPr>
        <w:t>4</w:t>
      </w:r>
      <w:r>
        <w:rPr>
          <w:rFonts w:hint="eastAsia" w:eastAsia="仿宋_GB2312" w:cs="Times New Roman"/>
          <w:sz w:val="32"/>
          <w:szCs w:val="32"/>
        </w:rPr>
        <w:t>月外，其余月份水质均为劣</w:t>
      </w:r>
      <w:r>
        <w:rPr>
          <w:rFonts w:eastAsia="仿宋_GB2312" w:cs="Times New Roman"/>
          <w:sz w:val="32"/>
          <w:szCs w:val="32"/>
        </w:rPr>
        <w:t>V</w:t>
      </w:r>
      <w:r>
        <w:rPr>
          <w:rFonts w:hint="eastAsia" w:eastAsia="仿宋_GB2312" w:cs="Times New Roman"/>
          <w:sz w:val="32"/>
          <w:szCs w:val="32"/>
        </w:rPr>
        <w:t>类，主要超标指标为化学需氧量和氨氮，最大超标倍数分别为</w:t>
      </w:r>
      <w:r>
        <w:rPr>
          <w:rFonts w:eastAsia="仿宋_GB2312" w:cs="Times New Roman"/>
          <w:sz w:val="32"/>
          <w:szCs w:val="32"/>
        </w:rPr>
        <w:t>0.3</w:t>
      </w:r>
      <w:r>
        <w:rPr>
          <w:rFonts w:hint="eastAsia" w:eastAsia="仿宋_GB2312" w:cs="Times New Roman"/>
          <w:sz w:val="32"/>
          <w:szCs w:val="32"/>
        </w:rPr>
        <w:t>倍和</w:t>
      </w:r>
      <w:r>
        <w:rPr>
          <w:rFonts w:eastAsia="仿宋_GB2312" w:cs="Times New Roman"/>
          <w:sz w:val="32"/>
          <w:szCs w:val="32"/>
        </w:rPr>
        <w:t>0.4</w:t>
      </w:r>
      <w:r>
        <w:rPr>
          <w:rFonts w:hint="eastAsia" w:eastAsia="仿宋_GB2312" w:cs="Times New Roman"/>
          <w:sz w:val="32"/>
          <w:szCs w:val="32"/>
        </w:rPr>
        <w:t>倍，水质达标率有所下降。</w:t>
      </w:r>
    </w:p>
    <w:p>
      <w:pPr>
        <w:snapToGrid w:val="0"/>
        <w:spacing w:line="240" w:lineRule="auto"/>
        <w:ind w:firstLine="0" w:firstLineChars="0"/>
        <w:jc w:val="center"/>
        <w:rPr>
          <w:sz w:val="28"/>
          <w:szCs w:val="28"/>
        </w:rPr>
      </w:pPr>
      <w:r>
        <w:rPr>
          <w:rFonts w:hint="eastAsia"/>
        </w:rPr>
        <w:drawing>
          <wp:inline distT="0" distB="0" distL="114300" distR="114300">
            <wp:extent cx="4703445" cy="1599565"/>
            <wp:effectExtent l="0" t="0" r="1905" b="635"/>
            <wp:docPr id="7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2"/>
                    <pic:cNvPicPr>
                      <a:picLocks noChangeAspect="1"/>
                    </pic:cNvPicPr>
                  </pic:nvPicPr>
                  <pic:blipFill>
                    <a:blip r:embed="rId73"/>
                    <a:stretch>
                      <a:fillRect/>
                    </a:stretch>
                  </pic:blipFill>
                  <pic:spPr>
                    <a:xfrm>
                      <a:off x="0" y="0"/>
                      <a:ext cx="4703445" cy="1599565"/>
                    </a:xfrm>
                    <a:prstGeom prst="rect">
                      <a:avLst/>
                    </a:prstGeom>
                    <a:noFill/>
                    <a:ln w="9525">
                      <a:noFill/>
                    </a:ln>
                  </pic:spPr>
                </pic:pic>
              </a:graphicData>
            </a:graphic>
          </wp:inline>
        </w:drawing>
      </w:r>
    </w:p>
    <w:p>
      <w:pPr>
        <w:pStyle w:val="5"/>
        <w:spacing w:before="132" w:beforeLines="30" w:after="88" w:afterLines="2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3</w:t>
      </w:r>
      <w:r>
        <w:rPr>
          <w:rFonts w:hint="eastAsia" w:eastAsia="仿宋_GB2312"/>
          <w:sz w:val="32"/>
          <w:szCs w:val="32"/>
        </w:rPr>
        <w:t>-</w:t>
      </w:r>
      <w:r>
        <w:rPr>
          <w:rFonts w:ascii="Times New Roman" w:hAnsi="Times New Roman" w:eastAsia="仿宋_GB2312"/>
          <w:b/>
          <w:sz w:val="24"/>
          <w:szCs w:val="24"/>
        </w:rPr>
        <w:t>1</w:t>
      </w:r>
      <w:r>
        <w:rPr>
          <w:rFonts w:hint="eastAsia" w:ascii="Times New Roman" w:hAnsi="Times New Roman" w:eastAsia="仿宋_GB2312"/>
          <w:b/>
          <w:sz w:val="24"/>
          <w:szCs w:val="24"/>
        </w:rPr>
        <w:t>　台头断面</w:t>
      </w:r>
      <w:r>
        <w:rPr>
          <w:rFonts w:ascii="Times New Roman" w:hAnsi="Times New Roman" w:eastAsia="仿宋_GB2312"/>
          <w:b/>
          <w:sz w:val="24"/>
          <w:szCs w:val="24"/>
        </w:rPr>
        <w:t>2018</w:t>
      </w:r>
      <w:r>
        <w:rPr>
          <w:rFonts w:hint="eastAsia" w:ascii="Times New Roman" w:hAnsi="Times New Roman" w:eastAsia="仿宋_GB2312"/>
          <w:sz w:val="32"/>
          <w:szCs w:val="32"/>
        </w:rPr>
        <w:t>—</w:t>
      </w:r>
      <w:r>
        <w:rPr>
          <w:rFonts w:ascii="Times New Roman" w:hAnsi="Times New Roman" w:eastAsia="仿宋_GB2312"/>
          <w:b/>
          <w:sz w:val="24"/>
          <w:szCs w:val="24"/>
        </w:rPr>
        <w:t>2019</w:t>
      </w:r>
      <w:r>
        <w:rPr>
          <w:rFonts w:hint="eastAsia" w:ascii="Times New Roman" w:hAnsi="Times New Roman" w:eastAsia="仿宋_GB2312"/>
          <w:b/>
          <w:sz w:val="24"/>
          <w:szCs w:val="24"/>
        </w:rPr>
        <w:t>年各月水质状况</w:t>
      </w:r>
    </w:p>
    <w:p>
      <w:pPr>
        <w:pStyle w:val="3"/>
        <w:spacing w:line="576" w:lineRule="exact"/>
        <w:ind w:firstLine="643"/>
        <w:rPr>
          <w:rFonts w:eastAsia="楷体_GB2312"/>
          <w:szCs w:val="28"/>
        </w:rPr>
      </w:pPr>
      <w:bookmarkStart w:id="196" w:name="_Toc3201"/>
      <w:r>
        <w:rPr>
          <w:rFonts w:eastAsia="楷体_GB2312"/>
          <w:szCs w:val="28"/>
        </w:rPr>
        <w:t>3.3</w:t>
      </w:r>
      <w:r>
        <w:rPr>
          <w:rFonts w:hint="eastAsia" w:eastAsia="楷体_GB2312"/>
          <w:szCs w:val="28"/>
        </w:rPr>
        <w:t>当前水质超标风险分析</w:t>
      </w:r>
      <w:bookmarkEnd w:id="196"/>
    </w:p>
    <w:p>
      <w:pPr>
        <w:spacing w:line="576" w:lineRule="exact"/>
        <w:ind w:firstLine="640"/>
        <w:rPr>
          <w:rFonts w:eastAsia="仿宋_GB2312" w:cs="Times New Roman"/>
          <w:sz w:val="32"/>
          <w:szCs w:val="32"/>
        </w:rPr>
      </w:pPr>
      <w:r>
        <w:rPr>
          <w:rFonts w:eastAsia="仿宋_GB2312" w:cs="Times New Roman"/>
          <w:sz w:val="32"/>
          <w:szCs w:val="32"/>
        </w:rPr>
        <w:t>根据近几年大清河台头断面水质分析，主要污染物浓度有所降低，但水质类别依然没有达到考核目标，大多数月份的水质类别依然为劣V类，水质超标因子主要是化学需氧量。从水质变化趋势来看，化学需氧量超标受污染排放、水量、藻类等因素影响，如果不采取达标方案中相关任务措施，实施相关水质改善项目，大清河台头断面水质可能长期处于水质超标状态。</w:t>
      </w:r>
    </w:p>
    <w:p>
      <w:pPr>
        <w:pStyle w:val="2"/>
        <w:spacing w:line="576" w:lineRule="exact"/>
        <w:ind w:firstLine="640"/>
        <w:rPr>
          <w:szCs w:val="28"/>
        </w:rPr>
      </w:pPr>
      <w:bookmarkStart w:id="197" w:name="_Toc23211"/>
      <w:r>
        <w:rPr>
          <w:rFonts w:hint="eastAsia"/>
          <w:szCs w:val="28"/>
        </w:rPr>
        <w:t>四、污染源状况解析</w:t>
      </w:r>
      <w:bookmarkEnd w:id="197"/>
    </w:p>
    <w:p>
      <w:pPr>
        <w:pStyle w:val="3"/>
        <w:spacing w:line="576" w:lineRule="exact"/>
        <w:ind w:firstLine="643"/>
        <w:rPr>
          <w:rFonts w:eastAsia="楷体_GB2312"/>
          <w:szCs w:val="28"/>
        </w:rPr>
      </w:pPr>
      <w:bookmarkStart w:id="198" w:name="_Toc18593"/>
      <w:r>
        <w:rPr>
          <w:rFonts w:eastAsia="楷体_GB2312"/>
          <w:szCs w:val="28"/>
        </w:rPr>
        <w:t>4.1</w:t>
      </w:r>
      <w:r>
        <w:rPr>
          <w:rFonts w:hint="eastAsia" w:eastAsia="楷体_GB2312"/>
          <w:szCs w:val="28"/>
        </w:rPr>
        <w:t>污染源排放情况解析</w:t>
      </w:r>
      <w:bookmarkEnd w:id="198"/>
    </w:p>
    <w:p>
      <w:pPr>
        <w:pStyle w:val="4"/>
        <w:spacing w:line="576" w:lineRule="exact"/>
        <w:ind w:firstLine="643"/>
        <w:rPr>
          <w:szCs w:val="28"/>
        </w:rPr>
      </w:pPr>
      <w:bookmarkStart w:id="199" w:name="_Toc448941890"/>
      <w:bookmarkStart w:id="200" w:name="_Toc12525"/>
      <w:bookmarkStart w:id="201" w:name="_Toc30482"/>
      <w:r>
        <w:rPr>
          <w:szCs w:val="28"/>
        </w:rPr>
        <w:t>4.1.1</w:t>
      </w:r>
      <w:r>
        <w:rPr>
          <w:rFonts w:hint="eastAsia"/>
          <w:szCs w:val="28"/>
        </w:rPr>
        <w:t>工业污染</w:t>
      </w:r>
      <w:bookmarkEnd w:id="199"/>
      <w:bookmarkEnd w:id="200"/>
      <w:bookmarkEnd w:id="201"/>
    </w:p>
    <w:p>
      <w:pPr>
        <w:spacing w:line="576"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年环境统计数据，大清河流域范围内共有规模以上工业企业</w:t>
      </w:r>
      <w:r>
        <w:rPr>
          <w:rFonts w:eastAsia="仿宋_GB2312" w:cs="Times New Roman"/>
          <w:sz w:val="32"/>
          <w:szCs w:val="32"/>
        </w:rPr>
        <w:t>274</w:t>
      </w:r>
      <w:r>
        <w:rPr>
          <w:rFonts w:hint="eastAsia" w:eastAsia="仿宋_GB2312" w:cs="Times New Roman"/>
          <w:sz w:val="32"/>
          <w:szCs w:val="32"/>
        </w:rPr>
        <w:t>家，其中霸州市</w:t>
      </w:r>
      <w:r>
        <w:rPr>
          <w:rFonts w:eastAsia="仿宋_GB2312" w:cs="Times New Roman"/>
          <w:sz w:val="32"/>
          <w:szCs w:val="32"/>
        </w:rPr>
        <w:t>169</w:t>
      </w:r>
      <w:r>
        <w:rPr>
          <w:rFonts w:hint="eastAsia" w:eastAsia="仿宋_GB2312" w:cs="Times New Roman"/>
          <w:sz w:val="32"/>
          <w:szCs w:val="32"/>
        </w:rPr>
        <w:t>家，文安县</w:t>
      </w:r>
      <w:r>
        <w:rPr>
          <w:rFonts w:eastAsia="仿宋_GB2312" w:cs="Times New Roman"/>
          <w:sz w:val="32"/>
          <w:szCs w:val="32"/>
        </w:rPr>
        <w:t>105</w:t>
      </w:r>
      <w:r>
        <w:rPr>
          <w:rFonts w:hint="eastAsia" w:eastAsia="仿宋_GB2312" w:cs="Times New Roman"/>
          <w:sz w:val="32"/>
          <w:szCs w:val="32"/>
        </w:rPr>
        <w:t>家。从空间分布来看，霸州市的胜芳镇和文安县的滩里镇、左各庄镇规模以上工业企业相对集聚，以上三个镇企业数量占到流域内规模以上工业企业数量的</w:t>
      </w:r>
      <w:r>
        <w:rPr>
          <w:rFonts w:eastAsia="仿宋_GB2312" w:cs="Times New Roman"/>
          <w:sz w:val="32"/>
          <w:szCs w:val="32"/>
        </w:rPr>
        <w:t>48.9%</w:t>
      </w:r>
      <w:r>
        <w:rPr>
          <w:rFonts w:hint="eastAsia" w:eastAsia="仿宋_GB2312" w:cs="Times New Roman"/>
          <w:sz w:val="32"/>
          <w:szCs w:val="32"/>
        </w:rPr>
        <w:t>，其他企业零散分布在流域内相关乡镇。从行业分布来看，流域内以金属表面处理及热处理加工、胶合板制造、其他人造板制造等行业为主，分别占流域内规模以上工业企业数量的</w:t>
      </w:r>
      <w:r>
        <w:rPr>
          <w:rFonts w:eastAsia="仿宋_GB2312" w:cs="Times New Roman"/>
          <w:sz w:val="32"/>
          <w:szCs w:val="32"/>
        </w:rPr>
        <w:t>32.8%</w:t>
      </w:r>
      <w:r>
        <w:rPr>
          <w:rFonts w:hint="eastAsia" w:eastAsia="仿宋_GB2312" w:cs="Times New Roman"/>
          <w:sz w:val="32"/>
          <w:szCs w:val="32"/>
        </w:rPr>
        <w:t>、</w:t>
      </w:r>
      <w:r>
        <w:rPr>
          <w:rFonts w:eastAsia="仿宋_GB2312" w:cs="Times New Roman"/>
          <w:sz w:val="32"/>
          <w:szCs w:val="32"/>
        </w:rPr>
        <w:t>26.6%</w:t>
      </w:r>
      <w:r>
        <w:rPr>
          <w:rFonts w:hint="eastAsia" w:eastAsia="仿宋_GB2312" w:cs="Times New Roman"/>
          <w:sz w:val="32"/>
          <w:szCs w:val="32"/>
        </w:rPr>
        <w:t>和</w:t>
      </w:r>
      <w:r>
        <w:rPr>
          <w:rFonts w:eastAsia="仿宋_GB2312" w:cs="Times New Roman"/>
          <w:sz w:val="32"/>
          <w:szCs w:val="32"/>
        </w:rPr>
        <w:t>8.0%</w:t>
      </w:r>
      <w:r>
        <w:rPr>
          <w:rFonts w:hint="eastAsia" w:eastAsia="仿宋_GB2312" w:cs="Times New Roman"/>
          <w:sz w:val="32"/>
          <w:szCs w:val="32"/>
        </w:rPr>
        <w:t>。</w:t>
      </w:r>
    </w:p>
    <w:p>
      <w:pPr>
        <w:ind w:firstLine="0" w:firstLineChars="0"/>
        <w:jc w:val="center"/>
        <w:rPr>
          <w:sz w:val="28"/>
          <w:szCs w:val="28"/>
        </w:rPr>
      </w:pPr>
      <w:r>
        <w:rPr>
          <w:rFonts w:hint="eastAsia"/>
        </w:rPr>
        <w:drawing>
          <wp:inline distT="0" distB="0" distL="114300" distR="114300">
            <wp:extent cx="3306445" cy="1976120"/>
            <wp:effectExtent l="0" t="0" r="8255" b="5080"/>
            <wp:docPr id="7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93"/>
                    <pic:cNvPicPr>
                      <a:picLocks noChangeAspect="1"/>
                    </pic:cNvPicPr>
                  </pic:nvPicPr>
                  <pic:blipFill>
                    <a:blip r:embed="rId74"/>
                    <a:stretch>
                      <a:fillRect/>
                    </a:stretch>
                  </pic:blipFill>
                  <pic:spPr>
                    <a:xfrm>
                      <a:off x="0" y="0"/>
                      <a:ext cx="3306445" cy="1976120"/>
                    </a:xfrm>
                    <a:prstGeom prst="rect">
                      <a:avLst/>
                    </a:prstGeom>
                    <a:noFill/>
                    <a:ln w="9525">
                      <a:noFill/>
                    </a:ln>
                  </pic:spPr>
                </pic:pic>
              </a:graphicData>
            </a:graphic>
          </wp:inline>
        </w:drawing>
      </w:r>
    </w:p>
    <w:p>
      <w:pPr>
        <w:pStyle w:val="5"/>
        <w:spacing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4</w:t>
      </w:r>
      <w:r>
        <w:rPr>
          <w:rFonts w:hint="eastAsia" w:eastAsia="仿宋_GB2312"/>
          <w:sz w:val="32"/>
          <w:szCs w:val="32"/>
        </w:rPr>
        <w:t>-</w:t>
      </w:r>
      <w:r>
        <w:rPr>
          <w:rFonts w:ascii="Times New Roman" w:hAnsi="Times New Roman" w:eastAsia="仿宋_GB2312"/>
          <w:b/>
          <w:sz w:val="24"/>
          <w:szCs w:val="24"/>
        </w:rPr>
        <w:t xml:space="preserve">1 </w:t>
      </w:r>
      <w:r>
        <w:rPr>
          <w:rFonts w:hint="eastAsia" w:ascii="Times New Roman" w:hAnsi="Times New Roman" w:eastAsia="仿宋_GB2312"/>
          <w:b/>
          <w:sz w:val="24"/>
          <w:szCs w:val="24"/>
        </w:rPr>
        <w:t>流域内主要工业企业的行业分布</w:t>
      </w:r>
    </w:p>
    <w:p>
      <w:pPr>
        <w:spacing w:line="576" w:lineRule="exact"/>
        <w:ind w:firstLine="640"/>
        <w:rPr>
          <w:rFonts w:eastAsia="仿宋_GB2312" w:cs="Times New Roman"/>
          <w:sz w:val="32"/>
          <w:szCs w:val="32"/>
        </w:rPr>
      </w:pPr>
      <w:r>
        <w:rPr>
          <w:rFonts w:hint="eastAsia" w:eastAsia="仿宋_GB2312" w:cs="Times New Roman"/>
          <w:sz w:val="32"/>
          <w:szCs w:val="32"/>
        </w:rPr>
        <w:t>其中，流域内有工业废水排放的企业</w:t>
      </w:r>
      <w:r>
        <w:rPr>
          <w:rFonts w:eastAsia="仿宋_GB2312" w:cs="Times New Roman"/>
          <w:sz w:val="32"/>
          <w:szCs w:val="32"/>
        </w:rPr>
        <w:t>132</w:t>
      </w:r>
      <w:r>
        <w:rPr>
          <w:rFonts w:hint="eastAsia" w:eastAsia="仿宋_GB2312" w:cs="Times New Roman"/>
          <w:sz w:val="32"/>
          <w:szCs w:val="32"/>
        </w:rPr>
        <w:t>家，其工业废水排放量为</w:t>
      </w:r>
      <w:r>
        <w:rPr>
          <w:rFonts w:eastAsia="仿宋_GB2312" w:cs="Times New Roman"/>
          <w:sz w:val="32"/>
          <w:szCs w:val="32"/>
        </w:rPr>
        <w:t>175.61</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年，化学需氧量排放量为</w:t>
      </w:r>
      <w:r>
        <w:rPr>
          <w:rFonts w:eastAsia="仿宋_GB2312" w:cs="Times New Roman"/>
          <w:sz w:val="32"/>
          <w:szCs w:val="32"/>
        </w:rPr>
        <w:t>160.93</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年，氨氮排放量为</w:t>
      </w:r>
      <w:r>
        <w:rPr>
          <w:rFonts w:eastAsia="仿宋_GB2312" w:cs="Times New Roman"/>
          <w:sz w:val="32"/>
          <w:szCs w:val="32"/>
        </w:rPr>
        <w:t>18.19</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年，总磷排放量</w:t>
      </w:r>
      <w:r>
        <w:rPr>
          <w:rFonts w:eastAsia="仿宋_GB2312" w:cs="Times New Roman"/>
          <w:sz w:val="32"/>
          <w:szCs w:val="32"/>
        </w:rPr>
        <w:t>0.62</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年。</w:t>
      </w:r>
    </w:p>
    <w:p>
      <w:pPr>
        <w:spacing w:line="576" w:lineRule="exact"/>
        <w:ind w:firstLine="640"/>
        <w:rPr>
          <w:rFonts w:eastAsia="仿宋_GB2312" w:cs="Times New Roman"/>
          <w:sz w:val="32"/>
          <w:szCs w:val="32"/>
        </w:rPr>
      </w:pPr>
      <w:r>
        <w:rPr>
          <w:rFonts w:hint="eastAsia" w:eastAsia="仿宋_GB2312" w:cs="Times New Roman"/>
          <w:sz w:val="32"/>
          <w:szCs w:val="32"/>
        </w:rPr>
        <w:t>从行业来看，涉水企业中其他未列明农副食品加工行业（</w:t>
      </w:r>
      <w:r>
        <w:rPr>
          <w:rFonts w:eastAsia="仿宋_GB2312" w:cs="Times New Roman"/>
          <w:sz w:val="32"/>
          <w:szCs w:val="32"/>
        </w:rPr>
        <w:t>2</w:t>
      </w:r>
      <w:r>
        <w:rPr>
          <w:rFonts w:hint="eastAsia" w:eastAsia="仿宋_GB2312" w:cs="Times New Roman"/>
          <w:sz w:val="32"/>
          <w:szCs w:val="32"/>
        </w:rPr>
        <w:t>家）、金属表面处理及热处理加工行业（</w:t>
      </w:r>
      <w:r>
        <w:rPr>
          <w:rFonts w:eastAsia="仿宋_GB2312" w:cs="Times New Roman"/>
          <w:sz w:val="32"/>
          <w:szCs w:val="32"/>
        </w:rPr>
        <w:t>90</w:t>
      </w:r>
      <w:r>
        <w:rPr>
          <w:rFonts w:hint="eastAsia" w:eastAsia="仿宋_GB2312" w:cs="Times New Roman"/>
          <w:sz w:val="32"/>
          <w:szCs w:val="32"/>
        </w:rPr>
        <w:t>家）化学需氧量排放最大，两个行业</w:t>
      </w:r>
      <w:r>
        <w:rPr>
          <w:rFonts w:eastAsia="仿宋_GB2312" w:cs="Times New Roman"/>
          <w:sz w:val="32"/>
          <w:szCs w:val="32"/>
        </w:rPr>
        <w:t>92</w:t>
      </w:r>
      <w:r>
        <w:rPr>
          <w:rFonts w:hint="eastAsia" w:eastAsia="仿宋_GB2312" w:cs="Times New Roman"/>
          <w:sz w:val="32"/>
          <w:szCs w:val="32"/>
        </w:rPr>
        <w:t>家企业化学需氧量排放量为</w:t>
      </w:r>
      <w:r>
        <w:rPr>
          <w:rFonts w:eastAsia="仿宋_GB2312" w:cs="Times New Roman"/>
          <w:sz w:val="32"/>
          <w:szCs w:val="32"/>
        </w:rPr>
        <w:t>110.54</w:t>
      </w:r>
      <w:r>
        <w:rPr>
          <w:rFonts w:hint="eastAsia" w:eastAsia="仿宋_GB2312" w:cs="Times New Roman"/>
          <w:sz w:val="32"/>
          <w:szCs w:val="32"/>
        </w:rPr>
        <w:t>吨</w:t>
      </w:r>
      <w:r>
        <w:rPr>
          <w:rFonts w:eastAsia="仿宋_GB2312" w:cs="Times New Roman"/>
          <w:sz w:val="32"/>
          <w:szCs w:val="32"/>
        </w:rPr>
        <w:t>/</w:t>
      </w:r>
      <w:r>
        <w:rPr>
          <w:rFonts w:hint="eastAsia" w:eastAsia="仿宋_GB2312" w:cs="Times New Roman"/>
          <w:sz w:val="32"/>
          <w:szCs w:val="32"/>
        </w:rPr>
        <w:t>年，占到流域化学需氧量排放量的</w:t>
      </w:r>
      <w:r>
        <w:rPr>
          <w:rFonts w:eastAsia="仿宋_GB2312" w:cs="Times New Roman"/>
          <w:sz w:val="32"/>
          <w:szCs w:val="32"/>
        </w:rPr>
        <w:t>68.69%</w:t>
      </w:r>
      <w:r>
        <w:rPr>
          <w:rFonts w:hint="eastAsia" w:eastAsia="仿宋_GB2312" w:cs="Times New Roman"/>
          <w:sz w:val="32"/>
          <w:szCs w:val="32"/>
        </w:rPr>
        <w:t>。</w:t>
      </w:r>
    </w:p>
    <w:p>
      <w:pPr>
        <w:pStyle w:val="5"/>
        <w:spacing w:before="221" w:beforeLines="50" w:after="221"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4</w:t>
      </w:r>
      <w:r>
        <w:rPr>
          <w:rFonts w:hint="eastAsia" w:ascii="Times New Roman" w:hAnsi="Times New Roman"/>
          <w:bCs/>
          <w:sz w:val="32"/>
          <w:szCs w:val="32"/>
        </w:rPr>
        <w:t>-</w:t>
      </w:r>
      <w:r>
        <w:rPr>
          <w:rFonts w:ascii="Times New Roman" w:hAnsi="Times New Roman"/>
          <w:bCs/>
          <w:sz w:val="32"/>
          <w:szCs w:val="32"/>
        </w:rPr>
        <w:t>1</w:t>
      </w:r>
      <w:r>
        <w:rPr>
          <w:rFonts w:hint="eastAsia" w:ascii="Times New Roman" w:hAnsi="Times New Roman"/>
          <w:bCs/>
          <w:sz w:val="32"/>
          <w:szCs w:val="32"/>
        </w:rPr>
        <w:t>　大清河流域内工业污染物排放量</w:t>
      </w:r>
    </w:p>
    <w:tbl>
      <w:tblPr>
        <w:tblStyle w:val="11"/>
        <w:tblW w:w="89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9"/>
        <w:gridCol w:w="2245"/>
        <w:gridCol w:w="2234"/>
        <w:gridCol w:w="1435"/>
        <w:gridCol w:w="17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11" w:hRule="atLeast"/>
          <w:jc w:val="center"/>
        </w:trPr>
        <w:tc>
          <w:tcPr>
            <w:tcW w:w="1249" w:type="dxa"/>
            <w:vAlign w:val="center"/>
          </w:tcPr>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区县</w:t>
            </w:r>
          </w:p>
        </w:tc>
        <w:tc>
          <w:tcPr>
            <w:tcW w:w="2245" w:type="dxa"/>
            <w:vAlign w:val="center"/>
          </w:tcPr>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工业废水排放量</w:t>
            </w:r>
          </w:p>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（万吨/年）</w:t>
            </w:r>
          </w:p>
        </w:tc>
        <w:tc>
          <w:tcPr>
            <w:tcW w:w="2234" w:type="dxa"/>
            <w:vAlign w:val="center"/>
          </w:tcPr>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化学需氧量排放量</w:t>
            </w:r>
          </w:p>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（吨/年）</w:t>
            </w:r>
          </w:p>
        </w:tc>
        <w:tc>
          <w:tcPr>
            <w:tcW w:w="1435" w:type="dxa"/>
            <w:vAlign w:val="center"/>
          </w:tcPr>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氨氮排放量（吨/年）</w:t>
            </w:r>
          </w:p>
        </w:tc>
        <w:tc>
          <w:tcPr>
            <w:tcW w:w="1743" w:type="dxa"/>
            <w:vAlign w:val="center"/>
          </w:tcPr>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化学需氧量</w:t>
            </w:r>
          </w:p>
          <w:p>
            <w:pPr>
              <w:widowControl/>
              <w:spacing w:line="240" w:lineRule="auto"/>
              <w:ind w:firstLine="0" w:firstLineChars="0"/>
              <w:jc w:val="center"/>
              <w:rPr>
                <w:rFonts w:eastAsia="仿宋_GB2312" w:cs="Times New Roman"/>
                <w:b/>
                <w:kern w:val="0"/>
                <w:sz w:val="21"/>
                <w:szCs w:val="28"/>
              </w:rPr>
            </w:pPr>
            <w:r>
              <w:rPr>
                <w:rFonts w:eastAsia="仿宋_GB2312" w:cs="Times New Roman"/>
                <w:b/>
                <w:kern w:val="0"/>
                <w:sz w:val="21"/>
                <w:szCs w:val="28"/>
              </w:rPr>
              <w:t>平均排放浓度（mg/L）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8" w:hRule="atLeast"/>
          <w:jc w:val="center"/>
        </w:trPr>
        <w:tc>
          <w:tcPr>
            <w:tcW w:w="1249"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霸州市</w:t>
            </w:r>
          </w:p>
        </w:tc>
        <w:tc>
          <w:tcPr>
            <w:tcW w:w="224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95.46</w:t>
            </w:r>
          </w:p>
        </w:tc>
        <w:tc>
          <w:tcPr>
            <w:tcW w:w="2234"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36.93</w:t>
            </w:r>
          </w:p>
        </w:tc>
        <w:tc>
          <w:tcPr>
            <w:tcW w:w="143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7.55</w:t>
            </w:r>
          </w:p>
        </w:tc>
        <w:tc>
          <w:tcPr>
            <w:tcW w:w="1743"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38.69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8" w:hRule="atLeast"/>
          <w:jc w:val="center"/>
        </w:trPr>
        <w:tc>
          <w:tcPr>
            <w:tcW w:w="1249"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文安县</w:t>
            </w:r>
          </w:p>
        </w:tc>
        <w:tc>
          <w:tcPr>
            <w:tcW w:w="224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80.15</w:t>
            </w:r>
          </w:p>
        </w:tc>
        <w:tc>
          <w:tcPr>
            <w:tcW w:w="2234"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124.00</w:t>
            </w:r>
          </w:p>
        </w:tc>
        <w:tc>
          <w:tcPr>
            <w:tcW w:w="143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10.64</w:t>
            </w:r>
          </w:p>
        </w:tc>
        <w:tc>
          <w:tcPr>
            <w:tcW w:w="1743"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154.71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51" w:hRule="atLeast"/>
          <w:jc w:val="center"/>
        </w:trPr>
        <w:tc>
          <w:tcPr>
            <w:tcW w:w="1249"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总计</w:t>
            </w:r>
          </w:p>
        </w:tc>
        <w:tc>
          <w:tcPr>
            <w:tcW w:w="224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175.61</w:t>
            </w:r>
          </w:p>
        </w:tc>
        <w:tc>
          <w:tcPr>
            <w:tcW w:w="2234"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160.93</w:t>
            </w:r>
          </w:p>
        </w:tc>
        <w:tc>
          <w:tcPr>
            <w:tcW w:w="1435"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18.19</w:t>
            </w:r>
          </w:p>
        </w:tc>
        <w:tc>
          <w:tcPr>
            <w:tcW w:w="1743" w:type="dxa"/>
            <w:vAlign w:val="center"/>
          </w:tcPr>
          <w:p>
            <w:pPr>
              <w:widowControl/>
              <w:spacing w:line="240" w:lineRule="auto"/>
              <w:ind w:firstLine="0" w:firstLineChars="0"/>
              <w:jc w:val="center"/>
              <w:rPr>
                <w:rFonts w:eastAsia="仿宋_GB2312" w:cs="Times New Roman"/>
                <w:kern w:val="0"/>
                <w:sz w:val="21"/>
                <w:szCs w:val="28"/>
              </w:rPr>
            </w:pPr>
            <w:r>
              <w:rPr>
                <w:rFonts w:eastAsia="仿宋_GB2312" w:cs="Times New Roman"/>
                <w:kern w:val="0"/>
                <w:sz w:val="21"/>
                <w:szCs w:val="28"/>
              </w:rPr>
              <w:t>91.64</w:t>
            </w:r>
          </w:p>
        </w:tc>
      </w:tr>
    </w:tbl>
    <w:p>
      <w:pPr>
        <w:pStyle w:val="4"/>
        <w:spacing w:line="590" w:lineRule="exact"/>
        <w:ind w:firstLine="643"/>
        <w:rPr>
          <w:szCs w:val="28"/>
        </w:rPr>
      </w:pPr>
      <w:bookmarkStart w:id="202" w:name="_Toc448941891"/>
      <w:bookmarkStart w:id="203" w:name="_Toc7718"/>
      <w:r>
        <w:rPr>
          <w:szCs w:val="28"/>
        </w:rPr>
        <w:t>4.1.2</w:t>
      </w:r>
      <w:r>
        <w:rPr>
          <w:rFonts w:hint="eastAsia"/>
          <w:szCs w:val="28"/>
        </w:rPr>
        <w:t>生活污染</w:t>
      </w:r>
      <w:bookmarkEnd w:id="202"/>
      <w:bookmarkEnd w:id="203"/>
    </w:p>
    <w:p>
      <w:pPr>
        <w:spacing w:line="590" w:lineRule="exact"/>
        <w:ind w:firstLine="640"/>
        <w:rPr>
          <w:rFonts w:eastAsia="仿宋_GB2312" w:cs="Times New Roman"/>
          <w:sz w:val="32"/>
          <w:szCs w:val="32"/>
        </w:rPr>
      </w:pPr>
      <w:r>
        <w:rPr>
          <w:rFonts w:hint="eastAsia" w:eastAsia="仿宋_GB2312" w:cs="Times New Roman"/>
          <w:sz w:val="32"/>
          <w:szCs w:val="32"/>
        </w:rPr>
        <w:t>根据统计数据，</w:t>
      </w:r>
      <w:r>
        <w:rPr>
          <w:rFonts w:eastAsia="仿宋_GB2312" w:cs="Times New Roman"/>
          <w:sz w:val="32"/>
          <w:szCs w:val="32"/>
        </w:rPr>
        <w:t>2017</w:t>
      </w:r>
      <w:r>
        <w:rPr>
          <w:rFonts w:hint="eastAsia" w:eastAsia="仿宋_GB2312" w:cs="Times New Roman"/>
          <w:sz w:val="32"/>
          <w:szCs w:val="32"/>
        </w:rPr>
        <w:t>年，霸州市总人口</w:t>
      </w:r>
      <w:r>
        <w:rPr>
          <w:rFonts w:eastAsia="仿宋_GB2312" w:cs="Times New Roman"/>
          <w:sz w:val="32"/>
          <w:szCs w:val="32"/>
        </w:rPr>
        <w:t>64.5</w:t>
      </w:r>
      <w:r>
        <w:rPr>
          <w:rFonts w:hint="eastAsia" w:eastAsia="仿宋_GB2312" w:cs="Times New Roman"/>
          <w:sz w:val="32"/>
          <w:szCs w:val="32"/>
        </w:rPr>
        <w:t>万人，其中城镇人口</w:t>
      </w:r>
      <w:r>
        <w:rPr>
          <w:rFonts w:eastAsia="仿宋_GB2312" w:cs="Times New Roman"/>
          <w:sz w:val="32"/>
          <w:szCs w:val="32"/>
        </w:rPr>
        <w:t>33.8</w:t>
      </w:r>
      <w:r>
        <w:rPr>
          <w:rFonts w:hint="eastAsia" w:eastAsia="仿宋_GB2312" w:cs="Times New Roman"/>
          <w:sz w:val="32"/>
          <w:szCs w:val="32"/>
        </w:rPr>
        <w:t>万，城镇化率达到</w:t>
      </w:r>
      <w:r>
        <w:rPr>
          <w:rFonts w:eastAsia="仿宋_GB2312" w:cs="Times New Roman"/>
          <w:sz w:val="32"/>
          <w:szCs w:val="32"/>
        </w:rPr>
        <w:t>52.4%</w:t>
      </w:r>
      <w:r>
        <w:rPr>
          <w:rFonts w:hint="eastAsia" w:eastAsia="仿宋_GB2312" w:cs="Times New Roman"/>
          <w:sz w:val="32"/>
          <w:szCs w:val="32"/>
        </w:rPr>
        <w:t>，农村人口</w:t>
      </w:r>
      <w:r>
        <w:rPr>
          <w:rFonts w:eastAsia="仿宋_GB2312" w:cs="Times New Roman"/>
          <w:sz w:val="32"/>
          <w:szCs w:val="32"/>
        </w:rPr>
        <w:t>30.7</w:t>
      </w:r>
      <w:r>
        <w:rPr>
          <w:rFonts w:hint="eastAsia" w:eastAsia="仿宋_GB2312" w:cs="Times New Roman"/>
          <w:sz w:val="32"/>
          <w:szCs w:val="32"/>
        </w:rPr>
        <w:t>万人；文安县总人口为</w:t>
      </w:r>
      <w:r>
        <w:rPr>
          <w:rFonts w:eastAsia="仿宋_GB2312" w:cs="Times New Roman"/>
          <w:sz w:val="32"/>
          <w:szCs w:val="32"/>
        </w:rPr>
        <w:t>52.89</w:t>
      </w:r>
      <w:r>
        <w:rPr>
          <w:rFonts w:hint="eastAsia" w:eastAsia="仿宋_GB2312" w:cs="Times New Roman"/>
          <w:sz w:val="32"/>
          <w:szCs w:val="32"/>
        </w:rPr>
        <w:t>万人，其中城镇人口</w:t>
      </w:r>
      <w:r>
        <w:rPr>
          <w:rFonts w:eastAsia="仿宋_GB2312" w:cs="Times New Roman"/>
          <w:sz w:val="32"/>
          <w:szCs w:val="32"/>
        </w:rPr>
        <w:t>5.82</w:t>
      </w:r>
      <w:r>
        <w:rPr>
          <w:rFonts w:hint="eastAsia" w:eastAsia="仿宋_GB2312" w:cs="Times New Roman"/>
          <w:sz w:val="32"/>
          <w:szCs w:val="32"/>
        </w:rPr>
        <w:t>万人、农村人口</w:t>
      </w:r>
      <w:r>
        <w:rPr>
          <w:rFonts w:eastAsia="仿宋_GB2312" w:cs="Times New Roman"/>
          <w:sz w:val="32"/>
          <w:szCs w:val="32"/>
        </w:rPr>
        <w:t>47.06</w:t>
      </w:r>
      <w:r>
        <w:rPr>
          <w:rFonts w:hint="eastAsia" w:eastAsia="仿宋_GB2312" w:cs="Times New Roman"/>
          <w:sz w:val="32"/>
          <w:szCs w:val="32"/>
        </w:rPr>
        <w:t>万人。根据河北省地方标准《用水定额第</w:t>
      </w:r>
      <w:r>
        <w:rPr>
          <w:rFonts w:eastAsia="仿宋_GB2312" w:cs="Times New Roman"/>
          <w:sz w:val="32"/>
          <w:szCs w:val="32"/>
        </w:rPr>
        <w:t>3</w:t>
      </w:r>
      <w:r>
        <w:rPr>
          <w:rFonts w:hint="eastAsia" w:eastAsia="仿宋_GB2312" w:cs="Times New Roman"/>
          <w:sz w:val="32"/>
          <w:szCs w:val="32"/>
        </w:rPr>
        <w:t>部分：生活用水（</w:t>
      </w:r>
      <w:r>
        <w:rPr>
          <w:rFonts w:eastAsia="仿宋_GB2312" w:cs="Times New Roman"/>
          <w:sz w:val="32"/>
          <w:szCs w:val="32"/>
        </w:rPr>
        <w:t>DB13T1161.3</w:t>
      </w:r>
      <w:r>
        <w:rPr>
          <w:rFonts w:hint="eastAsia" w:eastAsia="仿宋_GB2312" w:cs="Times New Roman"/>
          <w:sz w:val="32"/>
          <w:szCs w:val="32"/>
        </w:rPr>
        <w:t>—</w:t>
      </w:r>
      <w:r>
        <w:rPr>
          <w:rFonts w:eastAsia="仿宋_GB2312" w:cs="Times New Roman"/>
          <w:sz w:val="32"/>
          <w:szCs w:val="32"/>
        </w:rPr>
        <w:t>2009</w:t>
      </w:r>
      <w:r>
        <w:rPr>
          <w:rFonts w:hint="eastAsia" w:eastAsia="仿宋_GB2312" w:cs="Times New Roman"/>
          <w:sz w:val="32"/>
          <w:szCs w:val="32"/>
        </w:rPr>
        <w:t>）》，河北省农村居民生活用水定额为</w:t>
      </w:r>
      <w:r>
        <w:rPr>
          <w:rFonts w:eastAsia="仿宋_GB2312" w:cs="Times New Roman"/>
          <w:sz w:val="32"/>
          <w:szCs w:val="32"/>
        </w:rPr>
        <w:t>40</w:t>
      </w:r>
      <w:r>
        <w:rPr>
          <w:rFonts w:hint="eastAsia" w:eastAsia="仿宋_GB2312" w:cs="Times New Roman"/>
          <w:sz w:val="32"/>
          <w:szCs w:val="32"/>
        </w:rPr>
        <w:t>~</w:t>
      </w:r>
      <w:r>
        <w:rPr>
          <w:rFonts w:eastAsia="仿宋_GB2312" w:cs="Times New Roman"/>
          <w:sz w:val="32"/>
          <w:szCs w:val="32"/>
        </w:rPr>
        <w:t>60</w:t>
      </w:r>
      <w:r>
        <w:rPr>
          <w:rFonts w:hint="eastAsia" w:eastAsia="仿宋_GB2312" w:cs="Times New Roman"/>
          <w:sz w:val="32"/>
          <w:szCs w:val="32"/>
        </w:rPr>
        <w:t>升</w:t>
      </w:r>
      <w:r>
        <w:rPr>
          <w:rFonts w:eastAsia="仿宋_GB2312" w:cs="Times New Roman"/>
          <w:sz w:val="32"/>
          <w:szCs w:val="32"/>
        </w:rPr>
        <w:t>/</w:t>
      </w:r>
      <w:r>
        <w:rPr>
          <w:rFonts w:hint="eastAsia" w:eastAsia="仿宋_GB2312" w:cs="Times New Roman"/>
          <w:sz w:val="32"/>
          <w:szCs w:val="32"/>
        </w:rPr>
        <w:t>人</w:t>
      </w:r>
      <w:r>
        <w:rPr>
          <w:rFonts w:eastAsia="仿宋_GB2312" w:cs="Times New Roman"/>
          <w:sz w:val="32"/>
          <w:szCs w:val="32"/>
        </w:rPr>
        <w:t>·</w:t>
      </w:r>
      <w:r>
        <w:rPr>
          <w:rFonts w:hint="eastAsia" w:eastAsia="仿宋_GB2312" w:cs="Times New Roman"/>
          <w:sz w:val="32"/>
          <w:szCs w:val="32"/>
        </w:rPr>
        <w:t>天，则霸州市农村生活的用水量大约为</w:t>
      </w:r>
      <w:r>
        <w:rPr>
          <w:rFonts w:eastAsia="仿宋_GB2312" w:cs="Times New Roman"/>
          <w:sz w:val="32"/>
          <w:szCs w:val="32"/>
        </w:rPr>
        <w:t>1.62</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日，折污系数取</w:t>
      </w:r>
      <w:r>
        <w:rPr>
          <w:rFonts w:eastAsia="仿宋_GB2312" w:cs="Times New Roman"/>
          <w:sz w:val="32"/>
          <w:szCs w:val="32"/>
        </w:rPr>
        <w:t>0.85</w:t>
      </w:r>
      <w:r>
        <w:rPr>
          <w:rFonts w:hint="eastAsia" w:eastAsia="仿宋_GB2312" w:cs="Times New Roman"/>
          <w:sz w:val="32"/>
          <w:szCs w:val="32"/>
        </w:rPr>
        <w:t>，则霸州市农村污水排放量为</w:t>
      </w:r>
      <w:r>
        <w:rPr>
          <w:rFonts w:eastAsia="仿宋_GB2312" w:cs="Times New Roman"/>
          <w:sz w:val="32"/>
          <w:szCs w:val="32"/>
        </w:rPr>
        <w:t>1.38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日。用以上参数进行计算，得出文安县排放农村生活污水</w:t>
      </w:r>
      <w:r>
        <w:rPr>
          <w:rFonts w:eastAsia="仿宋_GB2312" w:cs="Times New Roman"/>
          <w:sz w:val="32"/>
          <w:szCs w:val="32"/>
        </w:rPr>
        <w:t>2</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w:t>
      </w:r>
    </w:p>
    <w:p>
      <w:pPr>
        <w:spacing w:line="590"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w:t>
      </w:r>
      <w:r>
        <w:rPr>
          <w:rFonts w:hint="eastAsia" w:eastAsia="仿宋_GB2312" w:cs="Times New Roman"/>
          <w:sz w:val="32"/>
          <w:szCs w:val="32"/>
        </w:rPr>
        <w:t>十二五</w:t>
      </w:r>
      <w:r>
        <w:rPr>
          <w:rFonts w:eastAsia="仿宋_GB2312" w:cs="Times New Roman"/>
          <w:sz w:val="32"/>
          <w:szCs w:val="32"/>
        </w:rPr>
        <w:t>”</w:t>
      </w:r>
      <w:r>
        <w:rPr>
          <w:rFonts w:hint="eastAsia" w:eastAsia="仿宋_GB2312" w:cs="Times New Roman"/>
          <w:sz w:val="32"/>
          <w:szCs w:val="32"/>
        </w:rPr>
        <w:t>污染物总量核算细则》，河北省城镇生活污染物综合产生系数为化学需氧量</w:t>
      </w:r>
      <w:r>
        <w:rPr>
          <w:rFonts w:eastAsia="仿宋_GB2312" w:cs="Times New Roman"/>
          <w:sz w:val="32"/>
          <w:szCs w:val="32"/>
        </w:rPr>
        <w:t>60</w:t>
      </w:r>
      <w:r>
        <w:rPr>
          <w:rFonts w:hint="eastAsia" w:eastAsia="仿宋_GB2312" w:cs="Times New Roman"/>
          <w:sz w:val="32"/>
          <w:szCs w:val="32"/>
        </w:rPr>
        <w:t>克</w:t>
      </w:r>
      <w:r>
        <w:rPr>
          <w:rFonts w:eastAsia="仿宋_GB2312" w:cs="Times New Roman"/>
          <w:sz w:val="32"/>
          <w:szCs w:val="32"/>
        </w:rPr>
        <w:t>/</w:t>
      </w:r>
      <w:r>
        <w:rPr>
          <w:rFonts w:hint="eastAsia" w:eastAsia="仿宋_GB2312" w:cs="Times New Roman"/>
          <w:sz w:val="32"/>
          <w:szCs w:val="32"/>
        </w:rPr>
        <w:t>人</w:t>
      </w:r>
      <w:r>
        <w:rPr>
          <w:rFonts w:eastAsia="仿宋_GB2312" w:cs="Times New Roman"/>
          <w:sz w:val="32"/>
          <w:szCs w:val="32"/>
        </w:rPr>
        <w:t>·</w:t>
      </w:r>
      <w:r>
        <w:rPr>
          <w:rFonts w:hint="eastAsia" w:eastAsia="仿宋_GB2312" w:cs="Times New Roman"/>
          <w:sz w:val="32"/>
          <w:szCs w:val="32"/>
        </w:rPr>
        <w:t>天、氨氮</w:t>
      </w:r>
      <w:r>
        <w:rPr>
          <w:rFonts w:eastAsia="仿宋_GB2312" w:cs="Times New Roman"/>
          <w:sz w:val="32"/>
          <w:szCs w:val="32"/>
        </w:rPr>
        <w:t>8.2</w:t>
      </w:r>
      <w:r>
        <w:rPr>
          <w:rFonts w:hint="eastAsia" w:eastAsia="仿宋_GB2312" w:cs="Times New Roman"/>
          <w:sz w:val="32"/>
          <w:szCs w:val="32"/>
        </w:rPr>
        <w:t>克</w:t>
      </w:r>
      <w:r>
        <w:rPr>
          <w:rFonts w:eastAsia="仿宋_GB2312" w:cs="Times New Roman"/>
          <w:sz w:val="32"/>
          <w:szCs w:val="32"/>
        </w:rPr>
        <w:t>/</w:t>
      </w:r>
      <w:r>
        <w:rPr>
          <w:rFonts w:hint="eastAsia" w:eastAsia="仿宋_GB2312" w:cs="Times New Roman"/>
          <w:sz w:val="32"/>
          <w:szCs w:val="32"/>
        </w:rPr>
        <w:t>人</w:t>
      </w:r>
      <w:r>
        <w:rPr>
          <w:rFonts w:eastAsia="仿宋_GB2312" w:cs="Times New Roman"/>
          <w:sz w:val="32"/>
          <w:szCs w:val="32"/>
        </w:rPr>
        <w:t>·</w:t>
      </w:r>
      <w:r>
        <w:rPr>
          <w:rFonts w:hint="eastAsia" w:eastAsia="仿宋_GB2312" w:cs="Times New Roman"/>
          <w:sz w:val="32"/>
          <w:szCs w:val="32"/>
        </w:rPr>
        <w:t>天，根据《河北省农村生活污水处理技术指南》，研究区域内农村生活污水的污染物平均浓度为化学需氧量</w:t>
      </w:r>
      <w:r>
        <w:rPr>
          <w:rFonts w:eastAsia="仿宋_GB2312" w:cs="Times New Roman"/>
          <w:sz w:val="32"/>
          <w:szCs w:val="32"/>
        </w:rPr>
        <w:t>200mg/L</w:t>
      </w:r>
      <w:r>
        <w:rPr>
          <w:rFonts w:hint="eastAsia" w:eastAsia="仿宋_GB2312" w:cs="Times New Roman"/>
          <w:sz w:val="32"/>
          <w:szCs w:val="32"/>
        </w:rPr>
        <w:t>、氨氮</w:t>
      </w:r>
      <w:r>
        <w:rPr>
          <w:rFonts w:eastAsia="仿宋_GB2312" w:cs="Times New Roman"/>
          <w:sz w:val="32"/>
          <w:szCs w:val="32"/>
        </w:rPr>
        <w:t>10mg/L</w:t>
      </w:r>
      <w:r>
        <w:rPr>
          <w:rFonts w:hint="eastAsia" w:eastAsia="仿宋_GB2312" w:cs="Times New Roman"/>
          <w:sz w:val="32"/>
          <w:szCs w:val="32"/>
        </w:rPr>
        <w:t>，由此参数测算的研究范围内</w:t>
      </w:r>
      <w:r>
        <w:rPr>
          <w:rFonts w:eastAsia="仿宋_GB2312" w:cs="Times New Roman"/>
          <w:sz w:val="32"/>
          <w:szCs w:val="32"/>
        </w:rPr>
        <w:t>2017</w:t>
      </w:r>
      <w:r>
        <w:rPr>
          <w:rFonts w:hint="eastAsia" w:eastAsia="仿宋_GB2312" w:cs="Times New Roman"/>
          <w:sz w:val="32"/>
          <w:szCs w:val="32"/>
        </w:rPr>
        <w:t>年生活源污染物的排放量如下表所示。</w:t>
      </w:r>
    </w:p>
    <w:p>
      <w:pPr>
        <w:pStyle w:val="5"/>
        <w:spacing w:before="221" w:beforeLines="50" w:after="221"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4</w:t>
      </w:r>
      <w:r>
        <w:rPr>
          <w:rFonts w:hint="eastAsia" w:ascii="Times New Roman" w:hAnsi="Times New Roman"/>
          <w:bCs/>
          <w:sz w:val="32"/>
          <w:szCs w:val="32"/>
        </w:rPr>
        <w:t>-</w:t>
      </w:r>
      <w:r>
        <w:rPr>
          <w:rFonts w:ascii="Times New Roman" w:hAnsi="Times New Roman"/>
          <w:bCs/>
          <w:sz w:val="32"/>
          <w:szCs w:val="32"/>
        </w:rPr>
        <w:t>2</w:t>
      </w:r>
      <w:r>
        <w:rPr>
          <w:rFonts w:hint="eastAsia" w:ascii="Times New Roman" w:hAnsi="Times New Roman"/>
          <w:bCs/>
          <w:sz w:val="32"/>
          <w:szCs w:val="32"/>
        </w:rPr>
        <w:t>　霸州市和文安县生活源污染物排放状况</w:t>
      </w:r>
    </w:p>
    <w:tbl>
      <w:tblPr>
        <w:tblStyle w:val="11"/>
        <w:tblW w:w="874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14"/>
        <w:gridCol w:w="1044"/>
        <w:gridCol w:w="780"/>
        <w:gridCol w:w="820"/>
        <w:gridCol w:w="1063"/>
        <w:gridCol w:w="855"/>
        <w:gridCol w:w="823"/>
        <w:gridCol w:w="998"/>
        <w:gridCol w:w="854"/>
        <w:gridCol w:w="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789" w:hRule="atLeast"/>
          <w:tblHeader/>
          <w:jc w:val="center"/>
        </w:trPr>
        <w:tc>
          <w:tcPr>
            <w:tcW w:w="714" w:type="dxa"/>
            <w:vMerge w:val="restart"/>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区县</w:t>
            </w:r>
          </w:p>
        </w:tc>
        <w:tc>
          <w:tcPr>
            <w:tcW w:w="2644" w:type="dxa"/>
            <w:gridSpan w:val="3"/>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城镇生活源</w:t>
            </w:r>
          </w:p>
        </w:tc>
        <w:tc>
          <w:tcPr>
            <w:tcW w:w="2741" w:type="dxa"/>
            <w:gridSpan w:val="3"/>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农村生活源</w:t>
            </w:r>
          </w:p>
        </w:tc>
        <w:tc>
          <w:tcPr>
            <w:tcW w:w="2644" w:type="dxa"/>
            <w:gridSpan w:val="3"/>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224" w:hRule="atLeast"/>
          <w:tblHeader/>
          <w:jc w:val="center"/>
        </w:trPr>
        <w:tc>
          <w:tcPr>
            <w:tcW w:w="714" w:type="dxa"/>
            <w:vMerge w:val="continue"/>
            <w:vAlign w:val="center"/>
          </w:tcPr>
          <w:p>
            <w:pPr>
              <w:snapToGrid w:val="0"/>
              <w:spacing w:line="240" w:lineRule="auto"/>
              <w:ind w:firstLine="0" w:firstLineChars="0"/>
              <w:jc w:val="center"/>
              <w:rPr>
                <w:rFonts w:eastAsia="仿宋_GB2312" w:cs="Times New Roman"/>
                <w:b/>
                <w:kern w:val="0"/>
                <w:sz w:val="21"/>
                <w:szCs w:val="21"/>
              </w:rPr>
            </w:pPr>
          </w:p>
        </w:tc>
        <w:tc>
          <w:tcPr>
            <w:tcW w:w="1044"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废水</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排放量</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（万吨/年）</w:t>
            </w:r>
          </w:p>
        </w:tc>
        <w:tc>
          <w:tcPr>
            <w:tcW w:w="780"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化学</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需氧量</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（吨/年）</w:t>
            </w:r>
          </w:p>
        </w:tc>
        <w:tc>
          <w:tcPr>
            <w:tcW w:w="820"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氨氮</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（吨/年）</w:t>
            </w:r>
          </w:p>
        </w:tc>
        <w:tc>
          <w:tcPr>
            <w:tcW w:w="1063"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废水</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排放量</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（万吨/年）</w:t>
            </w:r>
          </w:p>
        </w:tc>
        <w:tc>
          <w:tcPr>
            <w:tcW w:w="855"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化学</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需氧量</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（吨/年）</w:t>
            </w:r>
          </w:p>
        </w:tc>
        <w:tc>
          <w:tcPr>
            <w:tcW w:w="823"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氨氮</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（吨/年）</w:t>
            </w:r>
          </w:p>
        </w:tc>
        <w:tc>
          <w:tcPr>
            <w:tcW w:w="998"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废水</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排放量</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（万吨/年）</w:t>
            </w:r>
          </w:p>
        </w:tc>
        <w:tc>
          <w:tcPr>
            <w:tcW w:w="854"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化学</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需氧量（吨/年）</w:t>
            </w:r>
          </w:p>
        </w:tc>
        <w:tc>
          <w:tcPr>
            <w:tcW w:w="792" w:type="dxa"/>
            <w:vAlign w:val="center"/>
          </w:tcPr>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氨氮</w:t>
            </w:r>
          </w:p>
          <w:p>
            <w:pPr>
              <w:snapToGrid w:val="0"/>
              <w:spacing w:line="240" w:lineRule="auto"/>
              <w:ind w:firstLine="0" w:firstLineChars="0"/>
              <w:jc w:val="center"/>
              <w:rPr>
                <w:rFonts w:eastAsia="仿宋_GB2312" w:cs="Times New Roman"/>
                <w:b/>
                <w:kern w:val="0"/>
                <w:sz w:val="21"/>
                <w:szCs w:val="21"/>
              </w:rPr>
            </w:pPr>
            <w:r>
              <w:rPr>
                <w:rFonts w:eastAsia="仿宋_GB2312" w:cs="Times New Roman"/>
                <w:b/>
                <w:kern w:val="0"/>
                <w:sz w:val="21"/>
                <w:szCs w:val="21"/>
              </w:rPr>
              <w:t>（吨/年）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773" w:hRule="atLeast"/>
          <w:jc w:val="center"/>
        </w:trPr>
        <w:tc>
          <w:tcPr>
            <w:tcW w:w="71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104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2800</w:t>
            </w:r>
          </w:p>
        </w:tc>
        <w:tc>
          <w:tcPr>
            <w:tcW w:w="78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3035.4</w:t>
            </w:r>
          </w:p>
        </w:tc>
        <w:tc>
          <w:tcPr>
            <w:tcW w:w="82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1028</w:t>
            </w:r>
          </w:p>
        </w:tc>
        <w:tc>
          <w:tcPr>
            <w:tcW w:w="106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503.7</w:t>
            </w:r>
          </w:p>
        </w:tc>
        <w:tc>
          <w:tcPr>
            <w:tcW w:w="85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1007.4</w:t>
            </w:r>
          </w:p>
        </w:tc>
        <w:tc>
          <w:tcPr>
            <w:tcW w:w="82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51.1</w:t>
            </w:r>
          </w:p>
        </w:tc>
        <w:tc>
          <w:tcPr>
            <w:tcW w:w="998"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3303.7</w:t>
            </w:r>
          </w:p>
        </w:tc>
        <w:tc>
          <w:tcPr>
            <w:tcW w:w="8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4042.8</w:t>
            </w:r>
          </w:p>
        </w:tc>
        <w:tc>
          <w:tcPr>
            <w:tcW w:w="792"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1079.4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773" w:hRule="atLeast"/>
          <w:jc w:val="center"/>
        </w:trPr>
        <w:tc>
          <w:tcPr>
            <w:tcW w:w="71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104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276.2</w:t>
            </w:r>
          </w:p>
        </w:tc>
        <w:tc>
          <w:tcPr>
            <w:tcW w:w="78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7.4</w:t>
            </w:r>
          </w:p>
        </w:tc>
        <w:tc>
          <w:tcPr>
            <w:tcW w:w="82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23.8</w:t>
            </w:r>
          </w:p>
        </w:tc>
        <w:tc>
          <w:tcPr>
            <w:tcW w:w="106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730</w:t>
            </w:r>
          </w:p>
        </w:tc>
        <w:tc>
          <w:tcPr>
            <w:tcW w:w="85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1460</w:t>
            </w:r>
          </w:p>
        </w:tc>
        <w:tc>
          <w:tcPr>
            <w:tcW w:w="82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73</w:t>
            </w:r>
          </w:p>
        </w:tc>
        <w:tc>
          <w:tcPr>
            <w:tcW w:w="998"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1006.2</w:t>
            </w:r>
          </w:p>
        </w:tc>
        <w:tc>
          <w:tcPr>
            <w:tcW w:w="8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1467.4</w:t>
            </w:r>
          </w:p>
        </w:tc>
        <w:tc>
          <w:tcPr>
            <w:tcW w:w="792"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800" w:hRule="atLeast"/>
          <w:jc w:val="center"/>
        </w:trPr>
        <w:tc>
          <w:tcPr>
            <w:tcW w:w="71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合计</w:t>
            </w:r>
          </w:p>
        </w:tc>
        <w:tc>
          <w:tcPr>
            <w:tcW w:w="104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3076.2</w:t>
            </w:r>
          </w:p>
        </w:tc>
        <w:tc>
          <w:tcPr>
            <w:tcW w:w="78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3542.8</w:t>
            </w:r>
          </w:p>
        </w:tc>
        <w:tc>
          <w:tcPr>
            <w:tcW w:w="820"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1051.8</w:t>
            </w:r>
          </w:p>
        </w:tc>
        <w:tc>
          <w:tcPr>
            <w:tcW w:w="106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1233.7</w:t>
            </w:r>
          </w:p>
        </w:tc>
        <w:tc>
          <w:tcPr>
            <w:tcW w:w="855"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2467.4</w:t>
            </w:r>
          </w:p>
        </w:tc>
        <w:tc>
          <w:tcPr>
            <w:tcW w:w="823"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124.1</w:t>
            </w:r>
          </w:p>
        </w:tc>
        <w:tc>
          <w:tcPr>
            <w:tcW w:w="998"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4309.9</w:t>
            </w:r>
          </w:p>
        </w:tc>
        <w:tc>
          <w:tcPr>
            <w:tcW w:w="854"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5510.2</w:t>
            </w:r>
          </w:p>
        </w:tc>
        <w:tc>
          <w:tcPr>
            <w:tcW w:w="792" w:type="dxa"/>
            <w:vAlign w:val="center"/>
          </w:tcPr>
          <w:p>
            <w:pPr>
              <w:snapToGrid w:val="0"/>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1176.2</w:t>
            </w:r>
          </w:p>
        </w:tc>
      </w:tr>
    </w:tbl>
    <w:p>
      <w:pPr>
        <w:pStyle w:val="4"/>
        <w:spacing w:line="590" w:lineRule="exact"/>
        <w:ind w:firstLine="643"/>
      </w:pPr>
      <w:bookmarkStart w:id="204" w:name="_Toc448941892"/>
      <w:bookmarkStart w:id="205" w:name="_Toc25644"/>
      <w:bookmarkStart w:id="206" w:name="_Toc775"/>
      <w:r>
        <w:t>4.1.3</w:t>
      </w:r>
      <w:r>
        <w:rPr>
          <w:rFonts w:hint="eastAsia"/>
        </w:rPr>
        <w:t>畜禽养殖污染</w:t>
      </w:r>
      <w:bookmarkEnd w:id="204"/>
      <w:bookmarkEnd w:id="205"/>
      <w:bookmarkEnd w:id="206"/>
    </w:p>
    <w:p>
      <w:pPr>
        <w:spacing w:line="590"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年环境统计数据，大清河流域范围内规模化畜禽养殖仅有文安县</w:t>
      </w:r>
      <w:r>
        <w:rPr>
          <w:rFonts w:eastAsia="仿宋_GB2312" w:cs="Times New Roman"/>
          <w:sz w:val="32"/>
          <w:szCs w:val="32"/>
        </w:rPr>
        <w:t>1</w:t>
      </w:r>
      <w:r>
        <w:rPr>
          <w:rFonts w:hint="eastAsia" w:eastAsia="仿宋_GB2312" w:cs="Times New Roman"/>
          <w:sz w:val="32"/>
          <w:szCs w:val="32"/>
        </w:rPr>
        <w:t>家规模化畜禽养殖场，主要养殖奶牛，饲养量为</w:t>
      </w:r>
      <w:r>
        <w:rPr>
          <w:rFonts w:eastAsia="仿宋_GB2312" w:cs="Times New Roman"/>
          <w:sz w:val="32"/>
          <w:szCs w:val="32"/>
        </w:rPr>
        <w:t>6190</w:t>
      </w:r>
      <w:r>
        <w:rPr>
          <w:rFonts w:hint="eastAsia" w:eastAsia="仿宋_GB2312" w:cs="Times New Roman"/>
          <w:sz w:val="32"/>
          <w:szCs w:val="32"/>
        </w:rPr>
        <w:t>头，畜禽粪便和尿液均已农田利用。</w:t>
      </w:r>
    </w:p>
    <w:p>
      <w:pPr>
        <w:pStyle w:val="3"/>
        <w:spacing w:line="590" w:lineRule="exact"/>
        <w:ind w:firstLine="643"/>
        <w:rPr>
          <w:rFonts w:eastAsia="楷体_GB2312"/>
        </w:rPr>
      </w:pPr>
      <w:bookmarkStart w:id="207" w:name="_Toc31173"/>
      <w:r>
        <w:rPr>
          <w:rFonts w:eastAsia="楷体_GB2312"/>
        </w:rPr>
        <w:t>4.2</w:t>
      </w:r>
      <w:r>
        <w:rPr>
          <w:rFonts w:hint="eastAsia" w:eastAsia="楷体_GB2312"/>
        </w:rPr>
        <w:t>水环境治理现状</w:t>
      </w:r>
      <w:bookmarkEnd w:id="207"/>
    </w:p>
    <w:p>
      <w:pPr>
        <w:spacing w:line="590" w:lineRule="exact"/>
        <w:ind w:firstLine="640"/>
        <w:rPr>
          <w:rFonts w:eastAsia="仿宋_GB2312" w:cs="Times New Roman"/>
          <w:sz w:val="32"/>
          <w:szCs w:val="32"/>
        </w:rPr>
      </w:pPr>
      <w:r>
        <w:rPr>
          <w:rFonts w:hint="eastAsia" w:eastAsia="仿宋_GB2312" w:cs="Times New Roman"/>
          <w:sz w:val="32"/>
          <w:szCs w:val="32"/>
        </w:rPr>
        <w:t>根据</w:t>
      </w:r>
      <w:r>
        <w:rPr>
          <w:rFonts w:eastAsia="仿宋_GB2312" w:cs="Times New Roman"/>
          <w:sz w:val="32"/>
          <w:szCs w:val="32"/>
        </w:rPr>
        <w:t>2017</w:t>
      </w:r>
      <w:r>
        <w:rPr>
          <w:rFonts w:hint="eastAsia" w:eastAsia="仿宋_GB2312" w:cs="Times New Roman"/>
          <w:sz w:val="32"/>
          <w:szCs w:val="32"/>
        </w:rPr>
        <w:t>年环境统计数据，大清河流域范围内已建成污水处理厂</w:t>
      </w:r>
      <w:r>
        <w:rPr>
          <w:rFonts w:eastAsia="仿宋_GB2312" w:cs="Times New Roman"/>
          <w:sz w:val="32"/>
          <w:szCs w:val="32"/>
        </w:rPr>
        <w:t>10</w:t>
      </w:r>
      <w:r>
        <w:rPr>
          <w:rFonts w:hint="eastAsia" w:eastAsia="仿宋_GB2312" w:cs="Times New Roman"/>
          <w:sz w:val="32"/>
          <w:szCs w:val="32"/>
        </w:rPr>
        <w:t>座，其中文安县</w:t>
      </w:r>
      <w:r>
        <w:rPr>
          <w:rFonts w:eastAsia="仿宋_GB2312" w:cs="Times New Roman"/>
          <w:sz w:val="32"/>
          <w:szCs w:val="32"/>
        </w:rPr>
        <w:t>3</w:t>
      </w:r>
      <w:r>
        <w:rPr>
          <w:rFonts w:hint="eastAsia" w:eastAsia="仿宋_GB2312" w:cs="Times New Roman"/>
          <w:sz w:val="32"/>
          <w:szCs w:val="32"/>
        </w:rPr>
        <w:t>座、霸州市</w:t>
      </w:r>
      <w:r>
        <w:rPr>
          <w:rFonts w:eastAsia="仿宋_GB2312" w:cs="Times New Roman"/>
          <w:sz w:val="32"/>
          <w:szCs w:val="32"/>
        </w:rPr>
        <w:t>7</w:t>
      </w:r>
      <w:r>
        <w:rPr>
          <w:rFonts w:hint="eastAsia" w:eastAsia="仿宋_GB2312" w:cs="Times New Roman"/>
          <w:sz w:val="32"/>
          <w:szCs w:val="32"/>
        </w:rPr>
        <w:t>座。流域内设计污水处理能力</w:t>
      </w:r>
      <w:r>
        <w:rPr>
          <w:rFonts w:eastAsia="仿宋_GB2312" w:cs="Times New Roman"/>
          <w:sz w:val="32"/>
          <w:szCs w:val="32"/>
        </w:rPr>
        <w:t>20.8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日，实际污水处理量</w:t>
      </w:r>
      <w:r>
        <w:rPr>
          <w:rFonts w:eastAsia="仿宋_GB2312" w:cs="Times New Roman"/>
          <w:sz w:val="32"/>
          <w:szCs w:val="32"/>
        </w:rPr>
        <w:t>5323.88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年，其中工业废水处理量</w:t>
      </w:r>
      <w:r>
        <w:rPr>
          <w:rFonts w:eastAsia="仿宋_GB2312" w:cs="Times New Roman"/>
          <w:sz w:val="32"/>
          <w:szCs w:val="32"/>
        </w:rPr>
        <w:t>1608.92</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年，生活污水处理量</w:t>
      </w:r>
      <w:r>
        <w:rPr>
          <w:rFonts w:eastAsia="仿宋_GB2312" w:cs="Times New Roman"/>
          <w:sz w:val="32"/>
          <w:szCs w:val="32"/>
        </w:rPr>
        <w:t>3714.96</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年。</w:t>
      </w:r>
      <w:r>
        <w:rPr>
          <w:rFonts w:eastAsia="仿宋_GB2312" w:cs="Times New Roman"/>
          <w:sz w:val="32"/>
          <w:szCs w:val="32"/>
        </w:rPr>
        <w:t>2018</w:t>
      </w:r>
      <w:r>
        <w:rPr>
          <w:rFonts w:hint="eastAsia" w:eastAsia="仿宋_GB2312" w:cs="Times New Roman"/>
          <w:sz w:val="32"/>
          <w:szCs w:val="32"/>
        </w:rPr>
        <w:t>年污泥产生量</w:t>
      </w:r>
      <w:r>
        <w:rPr>
          <w:rFonts w:eastAsia="仿宋_GB2312" w:cs="Times New Roman"/>
          <w:sz w:val="32"/>
          <w:szCs w:val="32"/>
        </w:rPr>
        <w:t>1.48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年，均运送至垃圾填埋场处理。</w:t>
      </w:r>
    </w:p>
    <w:p>
      <w:pPr>
        <w:spacing w:line="590" w:lineRule="exact"/>
        <w:ind w:firstLine="640"/>
        <w:rPr>
          <w:rFonts w:eastAsia="仿宋_GB2312" w:cs="Times New Roman"/>
          <w:sz w:val="32"/>
          <w:szCs w:val="32"/>
        </w:rPr>
      </w:pPr>
      <w:r>
        <w:rPr>
          <w:rFonts w:hint="eastAsia" w:eastAsia="仿宋_GB2312" w:cs="Times New Roman"/>
          <w:sz w:val="32"/>
          <w:szCs w:val="32"/>
        </w:rPr>
        <w:t>文安县已建成的</w:t>
      </w:r>
      <w:r>
        <w:rPr>
          <w:rFonts w:eastAsia="仿宋_GB2312" w:cs="Times New Roman"/>
          <w:sz w:val="32"/>
          <w:szCs w:val="32"/>
        </w:rPr>
        <w:t>3</w:t>
      </w:r>
      <w:r>
        <w:rPr>
          <w:rFonts w:hint="eastAsia" w:eastAsia="仿宋_GB2312" w:cs="Times New Roman"/>
          <w:sz w:val="32"/>
          <w:szCs w:val="32"/>
        </w:rPr>
        <w:t>座污水处理厂，分别是文安县城区污水处理厂、左各庄清南污水处理厂、新镇文新污水处理厂，全部安装在线监测设备并与上级生态环境部门联网。设计处理能力共</w:t>
      </w:r>
      <w:r>
        <w:rPr>
          <w:rFonts w:eastAsia="仿宋_GB2312" w:cs="Times New Roman"/>
          <w:sz w:val="32"/>
          <w:szCs w:val="32"/>
        </w:rPr>
        <w:t>2.8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w:t>
      </w:r>
      <w:r>
        <w:rPr>
          <w:rFonts w:eastAsia="仿宋_GB2312" w:cs="Times New Roman"/>
          <w:sz w:val="32"/>
          <w:szCs w:val="32"/>
        </w:rPr>
        <w:t>2017</w:t>
      </w:r>
      <w:r>
        <w:rPr>
          <w:rFonts w:hint="eastAsia" w:eastAsia="仿宋_GB2312" w:cs="Times New Roman"/>
          <w:sz w:val="32"/>
          <w:szCs w:val="32"/>
        </w:rPr>
        <w:t>年共处理生活污水量为</w:t>
      </w:r>
      <w:r>
        <w:rPr>
          <w:rFonts w:eastAsia="仿宋_GB2312" w:cs="Times New Roman"/>
          <w:sz w:val="32"/>
          <w:szCs w:val="32"/>
        </w:rPr>
        <w:t>787</w:t>
      </w:r>
      <w:r>
        <w:rPr>
          <w:rFonts w:hint="eastAsia" w:eastAsia="仿宋_GB2312" w:cs="Times New Roman"/>
          <w:sz w:val="32"/>
          <w:szCs w:val="32"/>
        </w:rPr>
        <w:t>万吨，污水处理厂平均负荷率为</w:t>
      </w:r>
      <w:r>
        <w:rPr>
          <w:rFonts w:eastAsia="仿宋_GB2312" w:cs="Times New Roman"/>
          <w:sz w:val="32"/>
          <w:szCs w:val="32"/>
        </w:rPr>
        <w:t>77%</w:t>
      </w:r>
      <w:r>
        <w:rPr>
          <w:rFonts w:hint="eastAsia" w:eastAsia="仿宋_GB2312" w:cs="Times New Roman"/>
          <w:sz w:val="32"/>
          <w:szCs w:val="32"/>
        </w:rPr>
        <w:t>。其中文安县城区污水处理厂尾水排入县城环城水系，对河道进行生态补水；大清河下游左各庄清南污水处理厂出水执行一级</w:t>
      </w:r>
      <w:r>
        <w:rPr>
          <w:rFonts w:eastAsia="仿宋_GB2312" w:cs="Times New Roman"/>
          <w:sz w:val="32"/>
          <w:szCs w:val="32"/>
        </w:rPr>
        <w:t>A</w:t>
      </w:r>
      <w:r>
        <w:rPr>
          <w:rFonts w:hint="eastAsia" w:eastAsia="仿宋_GB2312" w:cs="Times New Roman"/>
          <w:sz w:val="32"/>
          <w:szCs w:val="32"/>
        </w:rPr>
        <w:t>标准，尾水排入十马干渠。按照城镇人口生活污水全收集要求，目前文安县城和左各庄镇生活污水处理能力还存在一定缺口。</w:t>
      </w:r>
    </w:p>
    <w:p>
      <w:pPr>
        <w:spacing w:line="590" w:lineRule="exact"/>
        <w:ind w:firstLine="640"/>
        <w:rPr>
          <w:rFonts w:eastAsia="仿宋_GB2312" w:cs="Times New Roman"/>
          <w:sz w:val="32"/>
          <w:szCs w:val="32"/>
        </w:rPr>
      </w:pPr>
      <w:r>
        <w:rPr>
          <w:rFonts w:hint="eastAsia" w:eastAsia="仿宋_GB2312" w:cs="Times New Roman"/>
          <w:sz w:val="32"/>
          <w:szCs w:val="32"/>
        </w:rPr>
        <w:t>霸州市有</w:t>
      </w:r>
      <w:r>
        <w:rPr>
          <w:rFonts w:eastAsia="仿宋_GB2312" w:cs="Times New Roman"/>
          <w:sz w:val="32"/>
          <w:szCs w:val="32"/>
        </w:rPr>
        <w:t>7</w:t>
      </w:r>
      <w:r>
        <w:rPr>
          <w:rFonts w:hint="eastAsia" w:eastAsia="仿宋_GB2312" w:cs="Times New Roman"/>
          <w:sz w:val="32"/>
          <w:szCs w:val="32"/>
        </w:rPr>
        <w:t>座污水处理厂，总设计规模达</w:t>
      </w:r>
      <w:r>
        <w:rPr>
          <w:rFonts w:eastAsia="仿宋_GB2312" w:cs="Times New Roman"/>
          <w:sz w:val="32"/>
          <w:szCs w:val="32"/>
        </w:rPr>
        <w:t>18</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w:t>
      </w:r>
      <w:r>
        <w:rPr>
          <w:rFonts w:eastAsia="仿宋_GB2312" w:cs="Times New Roman"/>
          <w:sz w:val="32"/>
          <w:szCs w:val="32"/>
        </w:rPr>
        <w:t>2017</w:t>
      </w:r>
      <w:r>
        <w:rPr>
          <w:rFonts w:hint="eastAsia" w:eastAsia="仿宋_GB2312" w:cs="Times New Roman"/>
          <w:sz w:val="32"/>
          <w:szCs w:val="32"/>
        </w:rPr>
        <w:t>年共处理水量为</w:t>
      </w:r>
      <w:r>
        <w:rPr>
          <w:rFonts w:eastAsia="仿宋_GB2312" w:cs="Times New Roman"/>
          <w:sz w:val="32"/>
          <w:szCs w:val="32"/>
        </w:rPr>
        <w:t>4536.88</w:t>
      </w:r>
      <w:r>
        <w:rPr>
          <w:rFonts w:hint="eastAsia" w:eastAsia="仿宋_GB2312" w:cs="Times New Roman"/>
          <w:sz w:val="32"/>
          <w:szCs w:val="32"/>
        </w:rPr>
        <w:t>万吨，平均负荷率为</w:t>
      </w:r>
      <w:r>
        <w:rPr>
          <w:rFonts w:eastAsia="仿宋_GB2312" w:cs="Times New Roman"/>
          <w:sz w:val="32"/>
          <w:szCs w:val="32"/>
        </w:rPr>
        <w:t>69.05%</w:t>
      </w:r>
      <w:r>
        <w:rPr>
          <w:rFonts w:hint="eastAsia" w:eastAsia="仿宋_GB2312" w:cs="Times New Roman"/>
          <w:sz w:val="32"/>
          <w:szCs w:val="32"/>
        </w:rPr>
        <w:t>。其中处理霸州城区污水的中信环境水务（霸州）有限公司，设计污水处理规模</w:t>
      </w:r>
      <w:r>
        <w:rPr>
          <w:rFonts w:eastAsia="仿宋_GB2312" w:cs="Times New Roman"/>
          <w:sz w:val="32"/>
          <w:szCs w:val="32"/>
        </w:rPr>
        <w:t>4</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日，处理后的尾水排入牤牛河。目前牤牛河霸州城区段正在进行城区水系改造，城区的污水处理厂尾水将用于牤牛河城区水系的生态补水，不再排入中亭河。胜芳镇有</w:t>
      </w:r>
      <w:r>
        <w:rPr>
          <w:rFonts w:eastAsia="仿宋_GB2312" w:cs="Times New Roman"/>
          <w:sz w:val="32"/>
          <w:szCs w:val="32"/>
        </w:rPr>
        <w:t>3</w:t>
      </w:r>
      <w:r>
        <w:rPr>
          <w:rFonts w:hint="eastAsia" w:eastAsia="仿宋_GB2312" w:cs="Times New Roman"/>
          <w:sz w:val="32"/>
          <w:szCs w:val="32"/>
        </w:rPr>
        <w:t>座污水处理厂，总设计规模达</w:t>
      </w:r>
      <w:r>
        <w:rPr>
          <w:rFonts w:eastAsia="仿宋_GB2312" w:cs="Times New Roman"/>
          <w:sz w:val="32"/>
          <w:szCs w:val="32"/>
        </w:rPr>
        <w:t>9</w:t>
      </w:r>
      <w:r>
        <w:rPr>
          <w:rFonts w:hint="eastAsia" w:eastAsia="仿宋_GB2312" w:cs="Times New Roman"/>
          <w:sz w:val="32"/>
          <w:szCs w:val="32"/>
        </w:rPr>
        <w:t>万吨</w:t>
      </w:r>
      <w:r>
        <w:rPr>
          <w:rFonts w:eastAsia="仿宋_GB2312" w:cs="Times New Roman"/>
          <w:sz w:val="32"/>
          <w:szCs w:val="32"/>
        </w:rPr>
        <w:t>/</w:t>
      </w:r>
      <w:r>
        <w:rPr>
          <w:rFonts w:hint="eastAsia" w:eastAsia="仿宋_GB2312" w:cs="Times New Roman"/>
          <w:sz w:val="32"/>
          <w:szCs w:val="32"/>
        </w:rPr>
        <w:t>日，其尾水排放口均设置在中亭河上。污水处理厂概况如表所示。</w:t>
      </w:r>
    </w:p>
    <w:p>
      <w:pPr>
        <w:spacing w:line="590" w:lineRule="exact"/>
        <w:ind w:firstLine="640"/>
        <w:rPr>
          <w:rFonts w:eastAsia="仿宋_GB2312" w:cs="Times New Roman"/>
          <w:sz w:val="32"/>
          <w:szCs w:val="32"/>
        </w:rPr>
        <w:sectPr>
          <w:headerReference r:id="rId25" w:type="first"/>
          <w:footerReference r:id="rId28" w:type="first"/>
          <w:headerReference r:id="rId23" w:type="default"/>
          <w:footerReference r:id="rId26" w:type="default"/>
          <w:headerReference r:id="rId24" w:type="even"/>
          <w:footerReference r:id="rId27" w:type="even"/>
          <w:pgSz w:w="11906" w:h="16838"/>
          <w:pgMar w:top="2098" w:right="1531" w:bottom="1474" w:left="1531" w:header="851" w:footer="850" w:gutter="0"/>
          <w:pgNumType w:start="273"/>
          <w:cols w:space="720" w:num="1"/>
          <w:docGrid w:type="lines" w:linePitch="442" w:charSpace="0"/>
        </w:sectPr>
      </w:pPr>
    </w:p>
    <w:p>
      <w:pPr>
        <w:pStyle w:val="5"/>
        <w:spacing w:before="190" w:beforeLines="50" w:after="190" w:afterLines="50" w:line="580" w:lineRule="exact"/>
        <w:ind w:firstLine="0" w:firstLineChars="0"/>
        <w:jc w:val="center"/>
        <w:rPr>
          <w:rFonts w:ascii="Times New Roman" w:hAnsi="Times New Roman"/>
          <w:bCs/>
          <w:sz w:val="32"/>
          <w:szCs w:val="32"/>
        </w:rPr>
      </w:pPr>
      <w:r>
        <w:rPr>
          <w:rFonts w:hint="eastAsia" w:ascii="Times New Roman" w:hAnsi="Times New Roman"/>
          <w:bCs/>
          <w:sz w:val="32"/>
          <w:szCs w:val="32"/>
        </w:rPr>
        <w:t>表</w:t>
      </w:r>
      <w:r>
        <w:rPr>
          <w:rFonts w:ascii="Times New Roman" w:hAnsi="Times New Roman"/>
          <w:bCs/>
          <w:sz w:val="32"/>
          <w:szCs w:val="32"/>
        </w:rPr>
        <w:t>4</w:t>
      </w:r>
      <w:r>
        <w:rPr>
          <w:rFonts w:hint="eastAsia" w:ascii="Times New Roman" w:hAnsi="Times New Roman"/>
          <w:bCs/>
          <w:sz w:val="32"/>
          <w:szCs w:val="32"/>
        </w:rPr>
        <w:t>-</w:t>
      </w:r>
      <w:r>
        <w:rPr>
          <w:rFonts w:ascii="Times New Roman" w:hAnsi="Times New Roman"/>
          <w:bCs/>
          <w:sz w:val="32"/>
          <w:szCs w:val="32"/>
        </w:rPr>
        <w:t xml:space="preserve">3  </w:t>
      </w:r>
      <w:r>
        <w:rPr>
          <w:rFonts w:hint="eastAsia" w:ascii="Times New Roman" w:hAnsi="Times New Roman"/>
          <w:bCs/>
          <w:sz w:val="32"/>
          <w:szCs w:val="32"/>
        </w:rPr>
        <w:t>大清河流域范围内污水处理厂基本概况</w:t>
      </w:r>
    </w:p>
    <w:tbl>
      <w:tblPr>
        <w:tblStyle w:val="11"/>
        <w:tblW w:w="1333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2033"/>
        <w:gridCol w:w="1005"/>
        <w:gridCol w:w="1500"/>
        <w:gridCol w:w="871"/>
        <w:gridCol w:w="1062"/>
        <w:gridCol w:w="1246"/>
        <w:gridCol w:w="1162"/>
        <w:gridCol w:w="1246"/>
        <w:gridCol w:w="1203"/>
        <w:gridCol w:w="1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67" w:hRule="atLeast"/>
          <w:tblHeader/>
          <w:jc w:val="center"/>
        </w:trPr>
        <w:tc>
          <w:tcPr>
            <w:tcW w:w="846"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行政区划</w:t>
            </w:r>
          </w:p>
        </w:tc>
        <w:tc>
          <w:tcPr>
            <w:tcW w:w="2033"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污水处理厂名称</w:t>
            </w:r>
          </w:p>
        </w:tc>
        <w:tc>
          <w:tcPr>
            <w:tcW w:w="1005"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建成</w:t>
            </w:r>
          </w:p>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时间</w:t>
            </w:r>
          </w:p>
        </w:tc>
        <w:tc>
          <w:tcPr>
            <w:tcW w:w="1500"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污水处理</w:t>
            </w:r>
          </w:p>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工艺</w:t>
            </w:r>
          </w:p>
        </w:tc>
        <w:tc>
          <w:tcPr>
            <w:tcW w:w="871"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排放</w:t>
            </w:r>
          </w:p>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标准</w:t>
            </w:r>
          </w:p>
        </w:tc>
        <w:tc>
          <w:tcPr>
            <w:tcW w:w="1062"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设计处理能力</w:t>
            </w:r>
          </w:p>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（吨/日）</w:t>
            </w:r>
          </w:p>
        </w:tc>
        <w:tc>
          <w:tcPr>
            <w:tcW w:w="1246"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实际处理量（万吨）</w:t>
            </w:r>
          </w:p>
        </w:tc>
        <w:tc>
          <w:tcPr>
            <w:tcW w:w="1162"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COD出口浓度</w:t>
            </w:r>
          </w:p>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（mg/L）</w:t>
            </w:r>
          </w:p>
        </w:tc>
        <w:tc>
          <w:tcPr>
            <w:tcW w:w="1246"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五日生化需氧量出口浓度（mg/L）</w:t>
            </w:r>
          </w:p>
        </w:tc>
        <w:tc>
          <w:tcPr>
            <w:tcW w:w="1203"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氨氮出口浓度（mg/L）</w:t>
            </w:r>
          </w:p>
        </w:tc>
        <w:tc>
          <w:tcPr>
            <w:tcW w:w="1162" w:type="dxa"/>
            <w:vAlign w:val="center"/>
          </w:tcPr>
          <w:p>
            <w:pPr>
              <w:widowControl/>
              <w:spacing w:line="320" w:lineRule="exact"/>
              <w:ind w:firstLine="0" w:firstLineChars="0"/>
              <w:jc w:val="center"/>
              <w:rPr>
                <w:rFonts w:eastAsia="仿宋_GB2312" w:cs="Times New Roman"/>
                <w:b/>
                <w:bCs/>
                <w:kern w:val="0"/>
                <w:sz w:val="21"/>
                <w:szCs w:val="21"/>
              </w:rPr>
            </w:pPr>
            <w:r>
              <w:rPr>
                <w:rFonts w:eastAsia="仿宋_GB2312" w:cs="Times New Roman"/>
                <w:b/>
                <w:bCs/>
                <w:kern w:val="0"/>
                <w:sz w:val="21"/>
                <w:szCs w:val="21"/>
              </w:rPr>
              <w:t>总磷出口浓度（mg/L）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83"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文安县文新污水</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处理厂（新镇）</w:t>
            </w:r>
          </w:p>
        </w:tc>
        <w:tc>
          <w:tcPr>
            <w:tcW w:w="1005" w:type="dxa"/>
            <w:vAlign w:val="center"/>
          </w:tcPr>
          <w:p>
            <w:pPr>
              <w:widowControl/>
              <w:spacing w:line="240" w:lineRule="auto"/>
              <w:ind w:firstLine="0" w:firstLineChars="0"/>
              <w:jc w:val="center"/>
              <w:rPr>
                <w:rFonts w:eastAsia="仿宋_GB2312" w:cs="Times New Roman"/>
                <w:sz w:val="21"/>
                <w:szCs w:val="21"/>
              </w:rPr>
            </w:pPr>
            <w:r>
              <w:rPr>
                <w:rFonts w:eastAsia="仿宋_GB2312" w:cs="Times New Roman"/>
                <w:sz w:val="21"/>
                <w:szCs w:val="21"/>
              </w:rPr>
              <w:t>2015</w:t>
            </w:r>
            <w:r>
              <w:rPr>
                <w:rFonts w:hint="eastAsia" w:eastAsia="仿宋_GB2312" w:cs="Times New Roman"/>
                <w:sz w:val="21"/>
                <w:szCs w:val="21"/>
              </w:rPr>
              <w:t>.</w:t>
            </w:r>
            <w:r>
              <w:rPr>
                <w:rFonts w:eastAsia="仿宋_GB2312" w:cs="Times New Roman"/>
                <w:sz w:val="21"/>
                <w:szCs w:val="21"/>
              </w:rPr>
              <w:t>11</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其他</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150</w:t>
            </w:r>
          </w:p>
        </w:tc>
        <w:tc>
          <w:tcPr>
            <w:tcW w:w="1162" w:type="dxa"/>
            <w:vAlign w:val="center"/>
          </w:tcPr>
          <w:p>
            <w:pPr>
              <w:widowControl/>
              <w:spacing w:line="240" w:lineRule="auto"/>
              <w:ind w:firstLine="0" w:firstLineChars="0"/>
              <w:jc w:val="center"/>
              <w:rPr>
                <w:rFonts w:eastAsia="仿宋_GB2312" w:cs="Times New Roman"/>
                <w:sz w:val="21"/>
                <w:szCs w:val="21"/>
              </w:rPr>
            </w:pPr>
            <w:r>
              <w:rPr>
                <w:rFonts w:eastAsia="仿宋_GB2312" w:cs="Times New Roman"/>
                <w:sz w:val="21"/>
                <w:szCs w:val="21"/>
              </w:rPr>
              <w:t>29</w:t>
            </w:r>
          </w:p>
        </w:tc>
        <w:tc>
          <w:tcPr>
            <w:tcW w:w="1246" w:type="dxa"/>
            <w:vAlign w:val="center"/>
          </w:tcPr>
          <w:p>
            <w:pPr>
              <w:widowControl/>
              <w:spacing w:line="240" w:lineRule="auto"/>
              <w:ind w:firstLine="0" w:firstLineChars="0"/>
              <w:jc w:val="center"/>
              <w:rPr>
                <w:rFonts w:eastAsia="仿宋_GB2312" w:cs="Times New Roman"/>
                <w:sz w:val="21"/>
                <w:szCs w:val="21"/>
              </w:rPr>
            </w:pPr>
          </w:p>
        </w:tc>
        <w:tc>
          <w:tcPr>
            <w:tcW w:w="1203" w:type="dxa"/>
            <w:vAlign w:val="center"/>
          </w:tcPr>
          <w:p>
            <w:pPr>
              <w:widowControl/>
              <w:spacing w:line="240" w:lineRule="auto"/>
              <w:ind w:firstLine="0" w:firstLineChars="0"/>
              <w:jc w:val="center"/>
              <w:rPr>
                <w:rFonts w:eastAsia="仿宋_GB2312" w:cs="Times New Roman"/>
                <w:sz w:val="21"/>
                <w:szCs w:val="21"/>
              </w:rPr>
            </w:pPr>
            <w:r>
              <w:rPr>
                <w:rFonts w:eastAsia="仿宋_GB2312" w:cs="Times New Roman"/>
                <w:sz w:val="21"/>
                <w:szCs w:val="21"/>
              </w:rPr>
              <w:t>3.11</w:t>
            </w:r>
          </w:p>
        </w:tc>
        <w:tc>
          <w:tcPr>
            <w:tcW w:w="1162" w:type="dxa"/>
            <w:vAlign w:val="center"/>
          </w:tcPr>
          <w:p>
            <w:pPr>
              <w:widowControl/>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92"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文安县清南污水</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处理厂（左各庄）</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2015</w:t>
            </w:r>
            <w:r>
              <w:rPr>
                <w:rFonts w:hint="eastAsia" w:eastAsia="仿宋_GB2312" w:cs="Times New Roman"/>
                <w:sz w:val="21"/>
                <w:szCs w:val="21"/>
              </w:rPr>
              <w:t>.</w:t>
            </w:r>
            <w:r>
              <w:rPr>
                <w:rFonts w:eastAsia="仿宋_GB2312" w:cs="Times New Roman"/>
                <w:sz w:val="21"/>
                <w:szCs w:val="21"/>
              </w:rPr>
              <w:t>10</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其他</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75</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42</w:t>
            </w:r>
          </w:p>
        </w:tc>
        <w:tc>
          <w:tcPr>
            <w:tcW w:w="1246" w:type="dxa"/>
            <w:vAlign w:val="center"/>
          </w:tcPr>
          <w:p>
            <w:pPr>
              <w:spacing w:line="240" w:lineRule="auto"/>
              <w:ind w:firstLine="0" w:firstLineChars="0"/>
              <w:jc w:val="center"/>
              <w:rPr>
                <w:rFonts w:eastAsia="仿宋_GB2312" w:cs="Times New Roman"/>
                <w:sz w:val="21"/>
                <w:szCs w:val="21"/>
              </w:rPr>
            </w:pP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4.20</w:t>
            </w:r>
          </w:p>
        </w:tc>
        <w:tc>
          <w:tcPr>
            <w:tcW w:w="1162"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9"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文安县城区</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污水处理厂</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2009</w:t>
            </w:r>
            <w:r>
              <w:rPr>
                <w:rFonts w:hint="eastAsia" w:eastAsia="仿宋_GB2312" w:cs="Times New Roman"/>
                <w:sz w:val="21"/>
                <w:szCs w:val="21"/>
              </w:rPr>
              <w:t>.</w:t>
            </w:r>
            <w:r>
              <w:rPr>
                <w:rFonts w:eastAsia="仿宋_GB2312" w:cs="Times New Roman"/>
                <w:sz w:val="21"/>
                <w:szCs w:val="21"/>
              </w:rPr>
              <w:t>05</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A</w:t>
            </w:r>
            <w:r>
              <w:rPr>
                <w:rFonts w:eastAsia="仿宋_GB2312" w:cs="Times New Roman"/>
                <w:kern w:val="0"/>
                <w:sz w:val="21"/>
                <w:szCs w:val="21"/>
                <w:vertAlign w:val="superscript"/>
              </w:rPr>
              <w:t>2</w:t>
            </w:r>
            <w:r>
              <w:rPr>
                <w:rFonts w:eastAsia="仿宋_GB2312" w:cs="Times New Roman"/>
                <w:kern w:val="0"/>
                <w:sz w:val="21"/>
                <w:szCs w:val="21"/>
              </w:rPr>
              <w:t>/O工艺</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562</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30</w:t>
            </w:r>
          </w:p>
        </w:tc>
        <w:tc>
          <w:tcPr>
            <w:tcW w:w="1246" w:type="dxa"/>
            <w:vAlign w:val="center"/>
          </w:tcPr>
          <w:p>
            <w:pPr>
              <w:spacing w:line="240" w:lineRule="auto"/>
              <w:ind w:firstLine="0" w:firstLineChars="0"/>
              <w:jc w:val="center"/>
              <w:rPr>
                <w:rFonts w:eastAsia="仿宋_GB2312" w:cs="Times New Roman"/>
                <w:sz w:val="21"/>
                <w:szCs w:val="21"/>
              </w:rPr>
            </w:pP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w:t>
            </w:r>
          </w:p>
        </w:tc>
        <w:tc>
          <w:tcPr>
            <w:tcW w:w="1162" w:type="dxa"/>
            <w:vAlign w:val="center"/>
          </w:tcPr>
          <w:p>
            <w:pPr>
              <w:spacing w:line="240" w:lineRule="auto"/>
              <w:ind w:firstLine="0" w:firstLineChars="0"/>
              <w:jc w:val="center"/>
              <w:rPr>
                <w:rFonts w:eastAsia="仿宋_GB2312"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778"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河北五强环保科技股份有限公司（辛章工业污水处理厂）</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05</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物理化学处理法+A</w:t>
            </w:r>
            <w:r>
              <w:rPr>
                <w:rFonts w:eastAsia="仿宋_GB2312" w:cs="Times New Roman"/>
                <w:kern w:val="0"/>
                <w:sz w:val="21"/>
                <w:szCs w:val="21"/>
                <w:vertAlign w:val="superscript"/>
              </w:rPr>
              <w:t>2</w:t>
            </w:r>
            <w:r>
              <w:rPr>
                <w:rFonts w:eastAsia="仿宋_GB2312" w:cs="Times New Roman"/>
                <w:kern w:val="0"/>
                <w:sz w:val="21"/>
                <w:szCs w:val="21"/>
              </w:rPr>
              <w:t>/O工艺+化学混凝法</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702.15</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26.68</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6.49</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1.02</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352"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河北瑞康环保科技有限公司（开发区污水处理厂）</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2016</w:t>
            </w:r>
            <w:r>
              <w:rPr>
                <w:rFonts w:hint="eastAsia" w:eastAsia="仿宋_GB2312" w:cs="Times New Roman"/>
                <w:sz w:val="21"/>
                <w:szCs w:val="21"/>
              </w:rPr>
              <w:t>.</w:t>
            </w:r>
            <w:r>
              <w:rPr>
                <w:rFonts w:eastAsia="仿宋_GB2312" w:cs="Times New Roman"/>
                <w:sz w:val="21"/>
                <w:szCs w:val="21"/>
              </w:rPr>
              <w:t>02</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A</w:t>
            </w:r>
            <w:r>
              <w:rPr>
                <w:rFonts w:eastAsia="仿宋_GB2312" w:cs="Times New Roman"/>
                <w:kern w:val="0"/>
                <w:sz w:val="21"/>
                <w:szCs w:val="21"/>
                <w:vertAlign w:val="superscript"/>
              </w:rPr>
              <w:t>2</w:t>
            </w:r>
            <w:r>
              <w:rPr>
                <w:rFonts w:eastAsia="仿宋_GB2312" w:cs="Times New Roman"/>
                <w:kern w:val="0"/>
                <w:sz w:val="21"/>
                <w:szCs w:val="21"/>
              </w:rPr>
              <w:t>/O工艺+化学混凝法</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143.35</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14.63</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3.47</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0.57</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553"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中信环境水务</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（霸州）有限公司</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胜芳分公司</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2007</w:t>
            </w:r>
            <w:r>
              <w:rPr>
                <w:rFonts w:hint="eastAsia" w:eastAsia="仿宋_GB2312" w:cs="Times New Roman"/>
                <w:sz w:val="21"/>
                <w:szCs w:val="21"/>
              </w:rPr>
              <w:t>.</w:t>
            </w:r>
            <w:r>
              <w:rPr>
                <w:rFonts w:eastAsia="仿宋_GB2312" w:cs="Times New Roman"/>
                <w:sz w:val="21"/>
                <w:szCs w:val="21"/>
              </w:rPr>
              <w:t>05</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A</w:t>
            </w:r>
            <w:r>
              <w:rPr>
                <w:rFonts w:eastAsia="仿宋_GB2312" w:cs="Times New Roman"/>
                <w:kern w:val="0"/>
                <w:sz w:val="21"/>
                <w:szCs w:val="21"/>
                <w:vertAlign w:val="superscript"/>
              </w:rPr>
              <w:t>2</w:t>
            </w:r>
            <w:r>
              <w:rPr>
                <w:rFonts w:eastAsia="仿宋_GB2312" w:cs="Times New Roman"/>
                <w:kern w:val="0"/>
                <w:sz w:val="21"/>
                <w:szCs w:val="21"/>
              </w:rPr>
              <w:t>/O工艺</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氧化沟类</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一级B</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1524.87</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30.94</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6.84</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1.10</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5"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中信环境水务</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（霸州）有限公司</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2008</w:t>
            </w:r>
            <w:r>
              <w:rPr>
                <w:rFonts w:hint="eastAsia" w:eastAsia="仿宋_GB2312" w:cs="Times New Roman"/>
                <w:sz w:val="21"/>
                <w:szCs w:val="21"/>
              </w:rPr>
              <w:t>.</w:t>
            </w:r>
            <w:r>
              <w:rPr>
                <w:rFonts w:eastAsia="仿宋_GB2312" w:cs="Times New Roman"/>
                <w:sz w:val="21"/>
                <w:szCs w:val="21"/>
              </w:rPr>
              <w:t>11</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A</w:t>
            </w:r>
            <w:r>
              <w:rPr>
                <w:rFonts w:eastAsia="仿宋_GB2312" w:cs="Times New Roman"/>
                <w:kern w:val="0"/>
                <w:sz w:val="21"/>
                <w:szCs w:val="21"/>
                <w:vertAlign w:val="superscript"/>
              </w:rPr>
              <w:t>2</w:t>
            </w:r>
            <w:r>
              <w:rPr>
                <w:rFonts w:eastAsia="仿宋_GB2312" w:cs="Times New Roman"/>
                <w:kern w:val="0"/>
                <w:sz w:val="21"/>
                <w:szCs w:val="21"/>
              </w:rPr>
              <w:t>/O工艺</w:t>
            </w:r>
          </w:p>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MBR类</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一级A</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40000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939.51</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14.02</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2.23</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0.14</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38"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霸州嘉诚水质净化有限公司（胜芳）</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2008</w:t>
            </w:r>
            <w:r>
              <w:rPr>
                <w:rFonts w:hint="eastAsia" w:eastAsia="仿宋_GB2312" w:cs="Times New Roman"/>
                <w:sz w:val="21"/>
                <w:szCs w:val="21"/>
              </w:rPr>
              <w:t>.</w:t>
            </w:r>
            <w:r>
              <w:rPr>
                <w:rFonts w:eastAsia="仿宋_GB2312" w:cs="Times New Roman"/>
                <w:sz w:val="21"/>
                <w:szCs w:val="21"/>
              </w:rPr>
              <w:t>10</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SBR类</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一级B</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587.43</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28.8</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12.87</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0.67</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63"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霸州市国泰环保工程有限公司（胜芳）</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2010</w:t>
            </w:r>
            <w:r>
              <w:rPr>
                <w:rFonts w:hint="eastAsia" w:eastAsia="仿宋_GB2312" w:cs="Times New Roman"/>
                <w:sz w:val="21"/>
                <w:szCs w:val="21"/>
              </w:rPr>
              <w:t>.</w:t>
            </w:r>
            <w:r>
              <w:rPr>
                <w:rFonts w:eastAsia="仿宋_GB2312" w:cs="Times New Roman"/>
                <w:sz w:val="21"/>
                <w:szCs w:val="21"/>
              </w:rPr>
              <w:t>09</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SBR类</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一级B</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294.01</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37.33</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10.51</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3.25</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492" w:hRule="atLeast"/>
          <w:jc w:val="center"/>
        </w:trPr>
        <w:tc>
          <w:tcPr>
            <w:tcW w:w="8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霸州市</w:t>
            </w:r>
          </w:p>
        </w:tc>
        <w:tc>
          <w:tcPr>
            <w:tcW w:w="2033"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北京嘉瑞环保股份有限公司（信安）</w:t>
            </w:r>
          </w:p>
        </w:tc>
        <w:tc>
          <w:tcPr>
            <w:tcW w:w="1005"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2014</w:t>
            </w:r>
            <w:r>
              <w:rPr>
                <w:rFonts w:hint="eastAsia" w:eastAsia="仿宋_GB2312" w:cs="Times New Roman"/>
                <w:sz w:val="21"/>
                <w:szCs w:val="21"/>
              </w:rPr>
              <w:t>.</w:t>
            </w:r>
            <w:r>
              <w:rPr>
                <w:rFonts w:eastAsia="仿宋_GB2312" w:cs="Times New Roman"/>
                <w:sz w:val="21"/>
                <w:szCs w:val="21"/>
              </w:rPr>
              <w:t>06</w:t>
            </w:r>
          </w:p>
        </w:tc>
        <w:tc>
          <w:tcPr>
            <w:tcW w:w="1500"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SBR类</w:t>
            </w:r>
          </w:p>
        </w:tc>
        <w:tc>
          <w:tcPr>
            <w:tcW w:w="871"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一级B</w:t>
            </w:r>
          </w:p>
        </w:tc>
        <w:tc>
          <w:tcPr>
            <w:tcW w:w="1062"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20000</w:t>
            </w:r>
          </w:p>
        </w:tc>
        <w:tc>
          <w:tcPr>
            <w:tcW w:w="1246" w:type="dxa"/>
            <w:vAlign w:val="center"/>
          </w:tcPr>
          <w:p>
            <w:pPr>
              <w:widowControl/>
              <w:spacing w:line="240" w:lineRule="auto"/>
              <w:ind w:firstLine="0" w:firstLineChars="0"/>
              <w:jc w:val="center"/>
              <w:rPr>
                <w:rFonts w:eastAsia="仿宋_GB2312" w:cs="Times New Roman"/>
                <w:kern w:val="0"/>
                <w:sz w:val="21"/>
                <w:szCs w:val="21"/>
              </w:rPr>
            </w:pPr>
            <w:r>
              <w:rPr>
                <w:rFonts w:eastAsia="仿宋_GB2312" w:cs="Times New Roman"/>
                <w:kern w:val="0"/>
                <w:sz w:val="21"/>
                <w:szCs w:val="21"/>
              </w:rPr>
              <w:t>345.56</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10.62</w:t>
            </w:r>
          </w:p>
        </w:tc>
        <w:tc>
          <w:tcPr>
            <w:tcW w:w="1246"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0.9</w:t>
            </w:r>
          </w:p>
        </w:tc>
        <w:tc>
          <w:tcPr>
            <w:tcW w:w="1203"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0.77</w:t>
            </w:r>
          </w:p>
        </w:tc>
        <w:tc>
          <w:tcPr>
            <w:tcW w:w="1162" w:type="dxa"/>
            <w:vAlign w:val="center"/>
          </w:tcPr>
          <w:p>
            <w:pPr>
              <w:spacing w:line="240" w:lineRule="auto"/>
              <w:ind w:firstLine="0" w:firstLineChars="0"/>
              <w:jc w:val="center"/>
              <w:rPr>
                <w:rFonts w:eastAsia="仿宋_GB2312" w:cs="Times New Roman"/>
                <w:sz w:val="21"/>
                <w:szCs w:val="21"/>
              </w:rPr>
            </w:pPr>
            <w:r>
              <w:rPr>
                <w:rFonts w:eastAsia="仿宋_GB2312" w:cs="Times New Roman"/>
                <w:sz w:val="21"/>
                <w:szCs w:val="21"/>
              </w:rPr>
              <w:t>0.12</w:t>
            </w:r>
          </w:p>
        </w:tc>
      </w:tr>
    </w:tbl>
    <w:p>
      <w:pPr>
        <w:ind w:firstLine="560"/>
        <w:rPr>
          <w:sz w:val="28"/>
          <w:szCs w:val="28"/>
        </w:rPr>
        <w:sectPr>
          <w:footerReference r:id="rId29" w:type="default"/>
          <w:footerReference r:id="rId30" w:type="even"/>
          <w:pgSz w:w="16838" w:h="11906" w:orient="landscape"/>
          <w:pgMar w:top="1531" w:right="2098" w:bottom="1531" w:left="1474" w:header="851" w:footer="850" w:gutter="0"/>
          <w:cols w:space="720" w:num="1"/>
          <w:docGrid w:type="lines" w:linePitch="381" w:charSpace="0"/>
        </w:sectPr>
      </w:pPr>
    </w:p>
    <w:p>
      <w:pPr>
        <w:pStyle w:val="2"/>
        <w:spacing w:line="590" w:lineRule="exact"/>
        <w:ind w:firstLine="640"/>
        <w:rPr>
          <w:szCs w:val="28"/>
        </w:rPr>
      </w:pPr>
      <w:bookmarkStart w:id="208" w:name="_Toc19005"/>
      <w:r>
        <w:rPr>
          <w:rFonts w:hint="eastAsia"/>
          <w:szCs w:val="28"/>
        </w:rPr>
        <w:t>五、原达标方案实施情况评估</w:t>
      </w:r>
      <w:bookmarkEnd w:id="208"/>
    </w:p>
    <w:p>
      <w:pPr>
        <w:pStyle w:val="3"/>
        <w:spacing w:line="590" w:lineRule="exact"/>
        <w:ind w:firstLine="643"/>
        <w:rPr>
          <w:rFonts w:eastAsia="楷体_GB2312"/>
          <w:szCs w:val="28"/>
        </w:rPr>
      </w:pPr>
      <w:bookmarkStart w:id="209" w:name="_Toc24755"/>
      <w:r>
        <w:rPr>
          <w:rFonts w:eastAsia="楷体_GB2312"/>
          <w:szCs w:val="28"/>
        </w:rPr>
        <w:t>5.1</w:t>
      </w:r>
      <w:r>
        <w:rPr>
          <w:rFonts w:hint="eastAsia" w:eastAsia="楷体_GB2312"/>
          <w:szCs w:val="28"/>
        </w:rPr>
        <w:t>总体情况</w:t>
      </w:r>
      <w:bookmarkEnd w:id="209"/>
    </w:p>
    <w:p>
      <w:pPr>
        <w:spacing w:line="590" w:lineRule="exact"/>
        <w:ind w:firstLine="640"/>
        <w:rPr>
          <w:rFonts w:eastAsia="仿宋_GB2312" w:cs="Times New Roman"/>
          <w:sz w:val="32"/>
          <w:szCs w:val="32"/>
        </w:rPr>
      </w:pPr>
      <w:r>
        <w:rPr>
          <w:rFonts w:eastAsia="仿宋_GB2312" w:cs="Times New Roman"/>
          <w:sz w:val="32"/>
          <w:szCs w:val="32"/>
        </w:rPr>
        <w:t>《水污染防治行动计划》要求未达到水质目标的地区要制定达标方案，由于大清河台头断面未达到国家考核目标，为了改善大清河水质，廊坊市政府印发实施了《廊坊市大清河水质达标方案》（以下简称“原达标方案”）。原达标方案以2015年为基准年，在大清河台头断面为劣V类、超标指标为化学需氧量的现状条件下，制定了以污染源治理为主，河道生态修复为辅的水质改善措施，通过工程措施的实施大幅削减入河负荷，以达到水质达标的目的。原达标方案共提出27项重点治理工程，包含大清河及其支流中亭河流域污染源治理项目22项，流域生态修复与保护项目4项，环境监管能力项目1项。</w:t>
      </w:r>
    </w:p>
    <w:p>
      <w:pPr>
        <w:spacing w:line="590" w:lineRule="exact"/>
        <w:ind w:firstLine="640"/>
        <w:rPr>
          <w:rFonts w:eastAsia="仿宋_GB2312" w:cs="Times New Roman"/>
          <w:sz w:val="32"/>
          <w:szCs w:val="32"/>
        </w:rPr>
      </w:pPr>
      <w:r>
        <w:rPr>
          <w:rFonts w:eastAsia="仿宋_GB2312" w:cs="Times New Roman"/>
          <w:sz w:val="32"/>
          <w:szCs w:val="32"/>
        </w:rPr>
        <w:t>通过原达标方案的实施，大清河台头断面水质改善明显，虽然水质类别在2018年仍然为劣V类，但是水质达标率达到41.7%，主要超标因子化学需氧量浓度较2016年下降6.8%；主要污染源城镇生活污染和部分农村生活污染得到有效处理，</w:t>
      </w:r>
      <w:r>
        <w:rPr>
          <w:rFonts w:hint="eastAsia" w:eastAsia="仿宋_GB2312" w:cs="Times New Roman"/>
          <w:sz w:val="32"/>
          <w:szCs w:val="32"/>
        </w:rPr>
        <w:t>化学需氧量</w:t>
      </w:r>
      <w:r>
        <w:rPr>
          <w:rFonts w:eastAsia="仿宋_GB2312" w:cs="Times New Roman"/>
          <w:sz w:val="32"/>
          <w:szCs w:val="32"/>
        </w:rPr>
        <w:t>和氨氮排放量大幅削减。</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通过原达标方案的实施，大清河流域治污能力得到了很大的提升，大清河流域已完成16项重点工程，11项工程未完成，由于现状等条件的改变，4项未完成的工程已不具备实施的必要性。</w:t>
      </w:r>
    </w:p>
    <w:p>
      <w:pPr>
        <w:autoSpaceDN w:val="0"/>
        <w:snapToGrid w:val="0"/>
        <w:spacing w:line="590" w:lineRule="exact"/>
        <w:ind w:firstLine="640"/>
        <w:rPr>
          <w:rFonts w:eastAsia="仿宋_GB2312" w:cs="Times New Roman"/>
          <w:sz w:val="32"/>
          <w:szCs w:val="32"/>
        </w:rPr>
      </w:pPr>
      <w:r>
        <w:rPr>
          <w:rFonts w:eastAsia="仿宋_GB2312" w:cs="Times New Roman"/>
          <w:sz w:val="32"/>
          <w:szCs w:val="32"/>
        </w:rPr>
        <w:t>通过原达标方案实施情况的评估和大清河实际情况的分析，流域现状条件发生变化，原有的部分水环境问题已基本得到解决，新的水环境问题成为当前的重点，水质改善的重点任务和方向发生转移。</w:t>
      </w:r>
    </w:p>
    <w:p>
      <w:pPr>
        <w:pStyle w:val="3"/>
        <w:spacing w:line="590" w:lineRule="exact"/>
        <w:ind w:firstLine="643"/>
        <w:rPr>
          <w:rFonts w:eastAsia="楷体_GB2312"/>
          <w:szCs w:val="28"/>
        </w:rPr>
      </w:pPr>
      <w:bookmarkStart w:id="210" w:name="_Toc21479"/>
      <w:r>
        <w:rPr>
          <w:rFonts w:eastAsia="楷体_GB2312"/>
          <w:szCs w:val="28"/>
        </w:rPr>
        <w:t>5.2</w:t>
      </w:r>
      <w:r>
        <w:rPr>
          <w:rFonts w:hint="eastAsia" w:eastAsia="楷体_GB2312"/>
          <w:szCs w:val="28"/>
        </w:rPr>
        <w:t>水质改善情况</w:t>
      </w:r>
      <w:bookmarkEnd w:id="210"/>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）达标方案实施前水质状况</w:t>
      </w:r>
    </w:p>
    <w:p>
      <w:pPr>
        <w:spacing w:line="590" w:lineRule="exact"/>
        <w:ind w:firstLine="640"/>
        <w:rPr>
          <w:rFonts w:eastAsia="仿宋_GB2312" w:cs="Times New Roman"/>
          <w:sz w:val="32"/>
          <w:szCs w:val="32"/>
        </w:rPr>
      </w:pPr>
      <w:r>
        <w:rPr>
          <w:rFonts w:hint="eastAsia" w:eastAsia="仿宋_GB2312" w:cs="Times New Roman"/>
          <w:sz w:val="32"/>
          <w:szCs w:val="32"/>
        </w:rPr>
        <w:t>按照《地表水环境质量标准》（</w:t>
      </w:r>
      <w:r>
        <w:rPr>
          <w:rFonts w:eastAsia="仿宋_GB2312" w:cs="Times New Roman"/>
          <w:sz w:val="32"/>
          <w:szCs w:val="32"/>
        </w:rPr>
        <w:t>GB3838</w:t>
      </w:r>
      <w:r>
        <w:rPr>
          <w:rFonts w:hint="eastAsia" w:eastAsia="仿宋_GB2312" w:cs="Times New Roman"/>
          <w:sz w:val="32"/>
          <w:szCs w:val="32"/>
        </w:rPr>
        <w:t>—</w:t>
      </w:r>
      <w:r>
        <w:rPr>
          <w:rFonts w:eastAsia="仿宋_GB2312" w:cs="Times New Roman"/>
          <w:sz w:val="32"/>
          <w:szCs w:val="32"/>
        </w:rPr>
        <w:t>2002</w:t>
      </w:r>
      <w:r>
        <w:rPr>
          <w:rFonts w:hint="eastAsia" w:eastAsia="仿宋_GB2312" w:cs="Times New Roman"/>
          <w:sz w:val="32"/>
          <w:szCs w:val="32"/>
        </w:rPr>
        <w:t>）表</w:t>
      </w:r>
      <w:r>
        <w:rPr>
          <w:rFonts w:eastAsia="仿宋_GB2312" w:cs="Times New Roman"/>
          <w:sz w:val="32"/>
          <w:szCs w:val="32"/>
        </w:rPr>
        <w:t>1</w:t>
      </w:r>
      <w:r>
        <w:rPr>
          <w:rFonts w:hint="eastAsia" w:eastAsia="仿宋_GB2312" w:cs="Times New Roman"/>
          <w:sz w:val="32"/>
          <w:szCs w:val="32"/>
        </w:rPr>
        <w:t>中</w:t>
      </w:r>
      <w:r>
        <w:rPr>
          <w:rFonts w:eastAsia="仿宋_GB2312" w:cs="Times New Roman"/>
          <w:sz w:val="32"/>
          <w:szCs w:val="32"/>
        </w:rPr>
        <w:t>21</w:t>
      </w:r>
      <w:r>
        <w:rPr>
          <w:rFonts w:hint="eastAsia" w:eastAsia="仿宋_GB2312" w:cs="Times New Roman"/>
          <w:sz w:val="32"/>
          <w:szCs w:val="32"/>
        </w:rPr>
        <w:t>项指标评价（除水温、总氮、粪大肠菌群外），</w:t>
      </w:r>
      <w:r>
        <w:rPr>
          <w:rFonts w:eastAsia="仿宋_GB2312" w:cs="Times New Roman"/>
          <w:sz w:val="32"/>
          <w:szCs w:val="32"/>
        </w:rPr>
        <w:t>2015</w:t>
      </w:r>
      <w:r>
        <w:rPr>
          <w:rFonts w:hint="eastAsia" w:eastAsia="仿宋_GB2312" w:cs="Times New Roman"/>
          <w:sz w:val="32"/>
          <w:szCs w:val="32"/>
        </w:rPr>
        <w:t>年大清河台头断面水质为劣</w:t>
      </w:r>
      <w:r>
        <w:rPr>
          <w:rFonts w:eastAsia="仿宋_GB2312" w:cs="Times New Roman"/>
          <w:sz w:val="32"/>
          <w:szCs w:val="32"/>
        </w:rPr>
        <w:t>V</w:t>
      </w:r>
      <w:r>
        <w:rPr>
          <w:rFonts w:hint="eastAsia" w:eastAsia="仿宋_GB2312" w:cs="Times New Roman"/>
          <w:sz w:val="32"/>
          <w:szCs w:val="32"/>
        </w:rPr>
        <w:t>类。超标指标为化学需氧量，超标</w:t>
      </w:r>
      <w:r>
        <w:rPr>
          <w:rFonts w:eastAsia="仿宋_GB2312" w:cs="Times New Roman"/>
          <w:sz w:val="32"/>
          <w:szCs w:val="32"/>
        </w:rPr>
        <w:t>0.155</w:t>
      </w:r>
      <w:r>
        <w:rPr>
          <w:rFonts w:hint="eastAsia" w:eastAsia="仿宋_GB2312" w:cs="Times New Roman"/>
          <w:sz w:val="32"/>
          <w:szCs w:val="32"/>
        </w:rPr>
        <w:t>倍。从逐月水质来看，大清河台头断面水质为Ⅴ类或劣Ⅴ类，主要污染因子为化学需氧量、氨氮、氟化物（由于该区域属古淀洼地区，属水文地质原因超标，不参与分析）。</w:t>
      </w:r>
    </w:p>
    <w:p>
      <w:pPr>
        <w:spacing w:line="590" w:lineRule="exact"/>
        <w:ind w:firstLine="640"/>
        <w:rPr>
          <w:rFonts w:eastAsia="仿宋_GB2312" w:cs="Times New Roman"/>
          <w:sz w:val="32"/>
          <w:szCs w:val="32"/>
        </w:rPr>
      </w:pPr>
      <w:r>
        <w:rPr>
          <w:rFonts w:hint="eastAsia" w:eastAsia="仿宋_GB2312" w:cs="Times New Roman"/>
          <w:sz w:val="32"/>
          <w:szCs w:val="32"/>
        </w:rPr>
        <w:t>（</w:t>
      </w:r>
      <w:r>
        <w:rPr>
          <w:rFonts w:eastAsia="仿宋_GB2312" w:cs="Times New Roman"/>
          <w:sz w:val="32"/>
          <w:szCs w:val="32"/>
        </w:rPr>
        <w:t>2</w:t>
      </w:r>
      <w:r>
        <w:rPr>
          <w:rFonts w:hint="eastAsia" w:eastAsia="仿宋_GB2312" w:cs="Times New Roman"/>
          <w:sz w:val="32"/>
          <w:szCs w:val="32"/>
        </w:rPr>
        <w:t>）达标方案实施后水质状况</w:t>
      </w:r>
    </w:p>
    <w:p>
      <w:pPr>
        <w:spacing w:line="590" w:lineRule="exact"/>
        <w:ind w:firstLine="640"/>
        <w:rPr>
          <w:rFonts w:eastAsia="仿宋_GB2312" w:cs="Times New Roman"/>
          <w:sz w:val="32"/>
          <w:szCs w:val="32"/>
        </w:rPr>
      </w:pPr>
      <w:r>
        <w:rPr>
          <w:rFonts w:eastAsia="仿宋_GB2312" w:cs="Times New Roman"/>
          <w:sz w:val="32"/>
          <w:szCs w:val="32"/>
        </w:rPr>
        <w:t>2018</w:t>
      </w:r>
      <w:r>
        <w:rPr>
          <w:rFonts w:hint="eastAsia" w:eastAsia="仿宋_GB2312" w:cs="Times New Roman"/>
          <w:sz w:val="32"/>
          <w:szCs w:val="32"/>
        </w:rPr>
        <w:t>年大清河台头断面仍为劣</w:t>
      </w:r>
      <w:r>
        <w:rPr>
          <w:rFonts w:eastAsia="仿宋_GB2312" w:cs="Times New Roman"/>
          <w:sz w:val="32"/>
          <w:szCs w:val="32"/>
        </w:rPr>
        <w:t>V</w:t>
      </w:r>
      <w:r>
        <w:rPr>
          <w:rFonts w:hint="eastAsia" w:eastAsia="仿宋_GB2312" w:cs="Times New Roman"/>
          <w:sz w:val="32"/>
          <w:szCs w:val="32"/>
        </w:rPr>
        <w:t>类水质，按年均值评价，超标指标为化学需氧量和氟化物。考虑该区域属古淀洼地区，氟化物超标是由水文地质原因造成的，因此从化学需氧量、氨氮和总磷等水体主要污染指标进行分析，</w:t>
      </w:r>
      <w:r>
        <w:rPr>
          <w:rFonts w:eastAsia="仿宋_GB2312" w:cs="Times New Roman"/>
          <w:sz w:val="32"/>
          <w:szCs w:val="32"/>
        </w:rPr>
        <w:t>2018</w:t>
      </w:r>
      <w:r>
        <w:rPr>
          <w:rFonts w:hint="eastAsia" w:eastAsia="仿宋_GB2312" w:cs="Times New Roman"/>
          <w:sz w:val="32"/>
          <w:szCs w:val="32"/>
        </w:rPr>
        <w:t>年较</w:t>
      </w:r>
      <w:r>
        <w:rPr>
          <w:rFonts w:eastAsia="仿宋_GB2312" w:cs="Times New Roman"/>
          <w:sz w:val="32"/>
          <w:szCs w:val="32"/>
        </w:rPr>
        <w:t>2016</w:t>
      </w:r>
      <w:r>
        <w:rPr>
          <w:rFonts w:hint="eastAsia" w:eastAsia="仿宋_GB2312" w:cs="Times New Roman"/>
          <w:sz w:val="32"/>
          <w:szCs w:val="32"/>
        </w:rPr>
        <w:t>年化学需氧量和总磷年均浓度分别下降</w:t>
      </w:r>
      <w:r>
        <w:rPr>
          <w:rFonts w:eastAsia="仿宋_GB2312" w:cs="Times New Roman"/>
          <w:sz w:val="32"/>
          <w:szCs w:val="32"/>
        </w:rPr>
        <w:t>6.8%</w:t>
      </w:r>
      <w:r>
        <w:rPr>
          <w:rFonts w:hint="eastAsia" w:eastAsia="仿宋_GB2312" w:cs="Times New Roman"/>
          <w:sz w:val="32"/>
          <w:szCs w:val="32"/>
        </w:rPr>
        <w:t>和</w:t>
      </w:r>
      <w:r>
        <w:rPr>
          <w:rFonts w:eastAsia="仿宋_GB2312" w:cs="Times New Roman"/>
          <w:sz w:val="32"/>
          <w:szCs w:val="32"/>
        </w:rPr>
        <w:t>15.1%</w:t>
      </w:r>
      <w:r>
        <w:rPr>
          <w:rFonts w:hint="eastAsia" w:eastAsia="仿宋_GB2312" w:cs="Times New Roman"/>
          <w:sz w:val="32"/>
          <w:szCs w:val="32"/>
        </w:rPr>
        <w:t>，氨氮年均浓度上升</w:t>
      </w:r>
      <w:r>
        <w:rPr>
          <w:rFonts w:eastAsia="仿宋_GB2312" w:cs="Times New Roman"/>
          <w:sz w:val="32"/>
          <w:szCs w:val="32"/>
        </w:rPr>
        <w:t>28.8%</w:t>
      </w:r>
      <w:r>
        <w:rPr>
          <w:rFonts w:hint="eastAsia" w:eastAsia="仿宋_GB2312" w:cs="Times New Roman"/>
          <w:sz w:val="32"/>
          <w:szCs w:val="32"/>
        </w:rPr>
        <w:t>，水质总体呈改善趋势。主要污染物浓度变化情况见图</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1</w:t>
      </w:r>
      <w:r>
        <w:rPr>
          <w:rFonts w:hint="eastAsia" w:eastAsia="仿宋_GB2312" w:cs="Times New Roman"/>
          <w:sz w:val="32"/>
          <w:szCs w:val="32"/>
        </w:rPr>
        <w:t>至图</w:t>
      </w:r>
      <w:r>
        <w:rPr>
          <w:rFonts w:eastAsia="仿宋_GB2312" w:cs="Times New Roman"/>
          <w:sz w:val="32"/>
          <w:szCs w:val="32"/>
        </w:rPr>
        <w:t>5</w:t>
      </w:r>
      <w:r>
        <w:rPr>
          <w:rFonts w:hint="eastAsia" w:eastAsia="仿宋_GB2312" w:cs="Times New Roman"/>
          <w:sz w:val="32"/>
          <w:szCs w:val="32"/>
        </w:rPr>
        <w:t>-</w:t>
      </w:r>
      <w:r>
        <w:rPr>
          <w:rFonts w:eastAsia="仿宋_GB2312" w:cs="Times New Roman"/>
          <w:sz w:val="32"/>
          <w:szCs w:val="32"/>
        </w:rPr>
        <w:t>3</w:t>
      </w:r>
      <w:r>
        <w:rPr>
          <w:rFonts w:hint="eastAsia" w:eastAsia="仿宋_GB2312" w:cs="Times New Roman"/>
          <w:sz w:val="32"/>
          <w:szCs w:val="32"/>
        </w:rPr>
        <w:t>。</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4237355" cy="2340610"/>
            <wp:effectExtent l="0" t="0" r="10795" b="2540"/>
            <wp:docPr id="7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94"/>
                    <pic:cNvPicPr>
                      <a:picLocks noChangeAspect="1"/>
                    </pic:cNvPicPr>
                  </pic:nvPicPr>
                  <pic:blipFill>
                    <a:blip r:embed="rId75"/>
                    <a:stretch>
                      <a:fillRect/>
                    </a:stretch>
                  </pic:blipFill>
                  <pic:spPr>
                    <a:xfrm>
                      <a:off x="0" y="0"/>
                      <a:ext cx="4237355" cy="2340610"/>
                    </a:xfrm>
                    <a:prstGeom prst="rect">
                      <a:avLst/>
                    </a:prstGeom>
                    <a:noFill/>
                    <a:ln w="9525">
                      <a:noFill/>
                    </a:ln>
                  </pic:spPr>
                </pic:pic>
              </a:graphicData>
            </a:graphic>
          </wp:inline>
        </w:drawing>
      </w:r>
    </w:p>
    <w:p>
      <w:pPr>
        <w:pStyle w:val="5"/>
        <w:spacing w:after="265" w:afterLines="6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32"/>
          <w:szCs w:val="32"/>
        </w:rPr>
        <w:t>-</w:t>
      </w:r>
      <w:r>
        <w:rPr>
          <w:rFonts w:ascii="Times New Roman" w:hAnsi="Times New Roman" w:eastAsia="仿宋_GB2312"/>
          <w:b/>
          <w:sz w:val="24"/>
          <w:szCs w:val="24"/>
        </w:rPr>
        <w:t>1</w:t>
      </w:r>
      <w:r>
        <w:rPr>
          <w:rFonts w:hint="eastAsia" w:ascii="Times New Roman" w:hAnsi="Times New Roman" w:eastAsia="仿宋_GB2312"/>
          <w:b/>
          <w:sz w:val="24"/>
          <w:szCs w:val="24"/>
        </w:rPr>
        <w:t>　台头断面化学需氧量浓度年际变化</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4289425" cy="2369820"/>
            <wp:effectExtent l="0" t="0" r="15875" b="11430"/>
            <wp:docPr id="7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5"/>
                    <pic:cNvPicPr>
                      <a:picLocks noChangeAspect="1"/>
                    </pic:cNvPicPr>
                  </pic:nvPicPr>
                  <pic:blipFill>
                    <a:blip r:embed="rId76"/>
                    <a:stretch>
                      <a:fillRect/>
                    </a:stretch>
                  </pic:blipFill>
                  <pic:spPr>
                    <a:xfrm>
                      <a:off x="0" y="0"/>
                      <a:ext cx="4289425" cy="2369820"/>
                    </a:xfrm>
                    <a:prstGeom prst="rect">
                      <a:avLst/>
                    </a:prstGeom>
                    <a:noFill/>
                    <a:ln w="9525">
                      <a:noFill/>
                    </a:ln>
                  </pic:spPr>
                </pic:pic>
              </a:graphicData>
            </a:graphic>
          </wp:inline>
        </w:drawing>
      </w:r>
    </w:p>
    <w:p>
      <w:pPr>
        <w:pStyle w:val="5"/>
        <w:snapToGrid w:val="0"/>
        <w:spacing w:before="44" w:beforeLines="10" w:after="265" w:afterLines="6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32"/>
          <w:szCs w:val="32"/>
        </w:rPr>
        <w:t>-</w:t>
      </w:r>
      <w:r>
        <w:rPr>
          <w:rFonts w:ascii="Times New Roman" w:hAnsi="Times New Roman" w:eastAsia="仿宋_GB2312"/>
          <w:b/>
          <w:sz w:val="24"/>
          <w:szCs w:val="24"/>
        </w:rPr>
        <w:t>2</w:t>
      </w:r>
      <w:r>
        <w:rPr>
          <w:rFonts w:hint="eastAsia" w:ascii="Times New Roman" w:hAnsi="Times New Roman" w:eastAsia="仿宋_GB2312"/>
          <w:b/>
          <w:sz w:val="24"/>
          <w:szCs w:val="24"/>
        </w:rPr>
        <w:t>　台头断面总磷浓度年际变化</w:t>
      </w:r>
    </w:p>
    <w:p>
      <w:pPr>
        <w:snapToGrid w:val="0"/>
        <w:spacing w:line="240" w:lineRule="auto"/>
        <w:ind w:firstLine="0" w:firstLineChars="0"/>
        <w:jc w:val="center"/>
        <w:rPr>
          <w:sz w:val="28"/>
          <w:szCs w:val="28"/>
        </w:rPr>
      </w:pPr>
      <w:r>
        <w:rPr>
          <w:rFonts w:hint="eastAsia"/>
          <w:sz w:val="28"/>
          <w:szCs w:val="28"/>
        </w:rPr>
        <w:drawing>
          <wp:inline distT="0" distB="0" distL="114300" distR="114300">
            <wp:extent cx="4328795" cy="2369820"/>
            <wp:effectExtent l="0" t="0" r="14605" b="1143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77"/>
                    <a:stretch>
                      <a:fillRect/>
                    </a:stretch>
                  </pic:blipFill>
                  <pic:spPr>
                    <a:xfrm>
                      <a:off x="0" y="0"/>
                      <a:ext cx="4328795" cy="2369820"/>
                    </a:xfrm>
                    <a:prstGeom prst="rect">
                      <a:avLst/>
                    </a:prstGeom>
                    <a:noFill/>
                    <a:ln w="9525">
                      <a:noFill/>
                    </a:ln>
                  </pic:spPr>
                </pic:pic>
              </a:graphicData>
            </a:graphic>
          </wp:inline>
        </w:drawing>
      </w:r>
    </w:p>
    <w:p>
      <w:pPr>
        <w:pStyle w:val="5"/>
        <w:snapToGrid w:val="0"/>
        <w:spacing w:before="44" w:beforeLines="10" w:line="240" w:lineRule="auto"/>
        <w:ind w:firstLine="0" w:firstLineChars="0"/>
        <w:jc w:val="center"/>
        <w:rPr>
          <w:rFonts w:ascii="Times New Roman" w:hAnsi="Times New Roman" w:eastAsia="仿宋_GB2312"/>
          <w:b/>
          <w:sz w:val="24"/>
          <w:szCs w:val="24"/>
        </w:rPr>
      </w:pPr>
      <w:r>
        <w:rPr>
          <w:rFonts w:hint="eastAsia" w:ascii="Times New Roman" w:hAnsi="Times New Roman" w:eastAsia="仿宋_GB2312"/>
          <w:b/>
          <w:sz w:val="24"/>
          <w:szCs w:val="24"/>
        </w:rPr>
        <w:t>图</w:t>
      </w:r>
      <w:r>
        <w:rPr>
          <w:rFonts w:ascii="Times New Roman" w:hAnsi="Times New Roman" w:eastAsia="仿宋_GB2312"/>
          <w:b/>
          <w:sz w:val="24"/>
          <w:szCs w:val="24"/>
        </w:rPr>
        <w:t>5</w:t>
      </w:r>
      <w:r>
        <w:rPr>
          <w:rFonts w:hint="eastAsia" w:eastAsia="仿宋_GB2312"/>
          <w:sz w:val="32"/>
          <w:szCs w:val="32"/>
        </w:rPr>
        <w:t>-</w:t>
      </w:r>
      <w:r>
        <w:rPr>
          <w:rFonts w:ascii="Times New Roman" w:hAnsi="Times New Roman" w:eastAsia="仿宋_GB2312"/>
          <w:b/>
          <w:sz w:val="24"/>
          <w:szCs w:val="24"/>
        </w:rPr>
        <w:t>3</w:t>
      </w:r>
      <w:r>
        <w:rPr>
          <w:rFonts w:hint="eastAsia" w:ascii="Times New Roman" w:hAnsi="Times New Roman" w:eastAsia="仿宋_GB2312"/>
          <w:b/>
          <w:sz w:val="24"/>
          <w:szCs w:val="24"/>
        </w:rPr>
        <w:t>　台头断面氨氮浓度年际变化</w:t>
      </w:r>
    </w:p>
    <w:p>
      <w:bookmarkStart w:id="211" w:name="_GoBack"/>
      <w:bookmarkEnd w:id="211"/>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A00002EF" w:usb1="4000004B" w:usb2="00000000" w:usb3="00000000" w:csb0="2000019F" w:csb1="00000000"/>
  </w:font>
  <w:font w:name="Calibri">
    <w:panose1 w:val="020F0502020204030204"/>
    <w:charset w:val="00"/>
    <w:family w:val="swiss"/>
    <w:pitch w:val="default"/>
    <w:sig w:usb0="E10002FF" w:usb1="4000ACFF" w:usb2="00000009" w:usb3="00000000" w:csb0="2000019F" w:csb1="00000000"/>
  </w:font>
  <w:font w:name="Arial">
    <w:panose1 w:val="020B0604020202020204"/>
    <w:charset w:val="00"/>
    <w:family w:val="swiss"/>
    <w:pitch w:val="default"/>
    <w:sig w:usb0="E0002AFF" w:usb1="C0007843" w:usb2="00000009" w:usb3="00000000" w:csb0="400001FF" w:csb1="FFFF0000"/>
  </w:font>
  <w:font w:name="仿宋_GB2312">
    <w:altName w:val="仿宋"/>
    <w:panose1 w:val="02010609030101010101"/>
    <w:charset w:val="86"/>
    <w:family w:val="modern"/>
    <w:pitch w:val="default"/>
    <w:sig w:usb0="00000000" w:usb1="00000000" w:usb2="00000010" w:usb3="00000000" w:csb0="00040000" w:csb1="00000000"/>
  </w:font>
  <w:font w:name="Calibri Light">
    <w:altName w:val="Calibri"/>
    <w:panose1 w:val="020F0302020204030204"/>
    <w:charset w:val="00"/>
    <w:family w:val="swiss"/>
    <w:pitch w:val="default"/>
    <w:sig w:usb0="00000000" w:usb1="00000000" w:usb2="00000000" w:usb3="00000000" w:csb0="0000019F" w:csb1="00000000"/>
  </w:font>
  <w:font w:name="仿宋">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AFF" w:usb1="C0007843" w:usb2="00000009" w:usb3="00000000" w:csb0="400001FF" w:csb1="FFFF0000"/>
  </w:font>
  <w:font w:name="微软雅黑">
    <w:panose1 w:val="020B0503020204020204"/>
    <w:charset w:val="86"/>
    <w:family w:val="swiss"/>
    <w:pitch w:val="default"/>
    <w:sig w:usb0="80000287" w:usb1="280F3C52" w:usb2="00000016" w:usb3="00000000" w:csb0="0004001F" w:csb1="00000000"/>
  </w:font>
  <w:font w:name="华文细黑">
    <w:altName w:val="微软雅黑"/>
    <w:panose1 w:val="02010600040101010101"/>
    <w:charset w:val="86"/>
    <w:family w:val="auto"/>
    <w:pitch w:val="default"/>
    <w:sig w:usb0="00000000" w:usb1="00000000" w:usb2="00000010" w:usb3="00000000" w:csb0="0004009F" w:csb1="00000000"/>
  </w:font>
  <w:font w:name="??">
    <w:altName w:val="Times New Roman"/>
    <w:panose1 w:val="00000000000000000000"/>
    <w:charset w:val="00"/>
    <w:family w:val="swiss"/>
    <w:pitch w:val="default"/>
    <w:sig w:usb0="00000000" w:usb1="00000000" w:usb2="00000000" w:usb3="00000000" w:csb0="00000001" w:csb1="00000000"/>
  </w:font>
  <w:font w:name="Chicago">
    <w:altName w:val="Arial"/>
    <w:panose1 w:val="00000000000000000000"/>
    <w:charset w:val="00"/>
    <w:family w:val="swiss"/>
    <w:pitch w:val="default"/>
    <w:sig w:usb0="00000000" w:usb1="00000000" w:usb2="00000000" w:usb3="00000000" w:csb0="00000001" w:csb1="00000000"/>
  </w:font>
  <w:font w:name="等线">
    <w:altName w:val="宋体"/>
    <w:panose1 w:val="02010600030101010101"/>
    <w:charset w:val="86"/>
    <w:family w:val="auto"/>
    <w:pitch w:val="default"/>
    <w:sig w:usb0="00000000" w:usb1="00000000" w:usb2="00000016" w:usb3="00000000" w:csb0="0004000F" w:csb1="00000000"/>
  </w:font>
  <w:font w:name="楷体_GB2312">
    <w:altName w:val="楷体"/>
    <w:panose1 w:val="02010609030101010101"/>
    <w:charset w:val="86"/>
    <w:family w:val="modern"/>
    <w:pitch w:val="default"/>
    <w:sig w:usb0="00000000" w:usb1="00000000" w:usb2="0000001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华文楷体">
    <w:altName w:val="宋体"/>
    <w:panose1 w:val="02010600040101010101"/>
    <w:charset w:val="86"/>
    <w:family w:val="auto"/>
    <w:pitch w:val="default"/>
    <w:sig w:usb0="00000000" w:usb1="00000000" w:usb2="00000010" w:usb3="00000000" w:csb0="0004009F" w:csb1="00000000"/>
  </w:font>
  <w:font w:name="方正小标宋简体">
    <w:panose1 w:val="03000509000000000000"/>
    <w:charset w:val="86"/>
    <w:family w:val="auto"/>
    <w:pitch w:val="default"/>
    <w:sig w:usb0="00000001" w:usb1="080E0000" w:usb2="00000000" w:usb3="00000000" w:csb0="00040000" w:csb1="00000000"/>
  </w:font>
  <w:font w:name="方正仿宋_GBK">
    <w:altName w:val="微软雅黑"/>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195</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w:t>
    </w:r>
  </w:p>
  <w:p>
    <w:pPr>
      <w:pStyle w:val="6"/>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250</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0" w:firstLineChars="0"/>
      <w:jc w:val="center"/>
      <w:rPr>
        <w:sz w:val="24"/>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256</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0" w:firstLineChars="0"/>
      <w:jc w:val="center"/>
      <w:rPr>
        <w:sz w:val="24"/>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269</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w:t>
    </w:r>
  </w:p>
  <w:p>
    <w:pPr>
      <w:pStyle w:val="6"/>
      <w:ind w:firstLine="0" w:firstLineChars="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270</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0" w:firstLineChars="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194</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291</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w:t>
    </w:r>
  </w:p>
  <w:p>
    <w:pPr>
      <w:pStyle w:val="6"/>
      <w:ind w:firstLine="480"/>
      <w:jc w:val="center"/>
      <w:rPr>
        <w:sz w:val="24"/>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290</w:t>
    </w:r>
    <w:r>
      <w:rPr>
        <w:rFonts w:ascii="宋体" w:hAnsi="宋体"/>
        <w:sz w:val="28"/>
        <w:szCs w:val="28"/>
      </w:rPr>
      <w:fldChar w:fldCharType="end"/>
    </w:r>
    <w:r>
      <w:rPr>
        <w:rStyle w:val="10"/>
        <w:rFonts w:hint="eastAsia" w:ascii="宋体" w:hAnsi="宋体"/>
        <w:sz w:val="28"/>
        <w:szCs w:val="28"/>
      </w:rPr>
      <w:t xml:space="preserve"> —</w:t>
    </w:r>
  </w:p>
  <w:p>
    <w:pPr>
      <w:pStyle w:val="6"/>
      <w:ind w:firstLine="360"/>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480"/>
      <w:jc w:val="center"/>
      <w:rPr>
        <w:sz w:val="24"/>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241</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w:t>
    </w:r>
  </w:p>
  <w:p>
    <w:pPr>
      <w:pStyle w:val="6"/>
      <w:ind w:firstLine="0" w:firstLineChars="0"/>
      <w:jc w:val="center"/>
      <w:rPr>
        <w:sz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242</w:t>
    </w:r>
    <w:r>
      <w:rPr>
        <w:rFonts w:ascii="宋体" w:hAnsi="宋体"/>
        <w:sz w:val="28"/>
        <w:szCs w:val="28"/>
      </w:rPr>
      <w:fldChar w:fldCharType="end"/>
    </w:r>
    <w:r>
      <w:rPr>
        <w:rStyle w:val="10"/>
        <w:rFonts w:hint="eastAsia" w:ascii="宋体" w:hAnsi="宋体"/>
        <w:sz w:val="28"/>
        <w:szCs w:val="28"/>
      </w:rPr>
      <w:t xml:space="preserve"> —</w:t>
    </w:r>
  </w:p>
  <w:p>
    <w:pPr>
      <w:pStyle w:val="6"/>
      <w:ind w:right="360"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firstLine="0" w:firstLineChars="0"/>
      <w:jc w:val="center"/>
      <w:rPr>
        <w:sz w:val="24"/>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ind w:right="360"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framePr w:wrap="around" w:vAnchor="text" w:hAnchor="margin" w:xAlign="outside" w:y="1"/>
      <w:ind w:firstLine="0" w:firstLineChars="0"/>
      <w:rPr>
        <w:rStyle w:val="10"/>
        <w:rFonts w:ascii="宋体" w:hAnsi="宋体"/>
        <w:sz w:val="28"/>
        <w:szCs w:val="28"/>
      </w:rPr>
    </w:pPr>
    <w:r>
      <w:rPr>
        <w:rStyle w:val="10"/>
        <w:rFonts w:hint="eastAsia" w:ascii="宋体" w:hAnsi="宋体"/>
        <w:color w:val="FFFFFF"/>
        <w:sz w:val="28"/>
        <w:szCs w:val="28"/>
      </w:rPr>
      <w:t>—</w:t>
    </w:r>
    <w:r>
      <w:rPr>
        <w:rStyle w:val="10"/>
        <w:rFonts w:hint="eastAsia" w:ascii="宋体" w:hAnsi="宋体"/>
        <w:sz w:val="28"/>
        <w:szCs w:val="28"/>
      </w:rPr>
      <w:t xml:space="preserve">— </w:t>
    </w:r>
    <w:r>
      <w:rPr>
        <w:rFonts w:ascii="宋体" w:hAnsi="宋体"/>
        <w:sz w:val="28"/>
        <w:szCs w:val="28"/>
      </w:rPr>
      <w:fldChar w:fldCharType="begin"/>
    </w:r>
    <w:r>
      <w:rPr>
        <w:rStyle w:val="10"/>
        <w:rFonts w:ascii="宋体" w:hAnsi="宋体"/>
        <w:sz w:val="28"/>
        <w:szCs w:val="28"/>
      </w:rPr>
      <w:instrText xml:space="preserve">PAGE  </w:instrText>
    </w:r>
    <w:r>
      <w:rPr>
        <w:rFonts w:ascii="宋体" w:hAnsi="宋体"/>
        <w:sz w:val="28"/>
        <w:szCs w:val="28"/>
      </w:rPr>
      <w:fldChar w:fldCharType="separate"/>
    </w:r>
    <w:r>
      <w:rPr>
        <w:rStyle w:val="10"/>
        <w:rFonts w:ascii="宋体" w:hAnsi="宋体"/>
        <w:sz w:val="28"/>
        <w:szCs w:val="28"/>
      </w:rPr>
      <w:t>249</w:t>
    </w:r>
    <w:r>
      <w:rPr>
        <w:rFonts w:ascii="宋体" w:hAnsi="宋体"/>
        <w:sz w:val="28"/>
        <w:szCs w:val="28"/>
      </w:rPr>
      <w:fldChar w:fldCharType="end"/>
    </w:r>
    <w:r>
      <w:rPr>
        <w:rStyle w:val="10"/>
        <w:rFonts w:hint="eastAsia" w:ascii="宋体" w:hAnsi="宋体"/>
        <w:sz w:val="28"/>
        <w:szCs w:val="28"/>
      </w:rPr>
      <w:t xml:space="preserve"> —</w:t>
    </w:r>
    <w:r>
      <w:rPr>
        <w:rStyle w:val="10"/>
        <w:rFonts w:hint="eastAsia" w:ascii="宋体" w:hAnsi="宋体"/>
        <w:color w:val="FFFFFF"/>
        <w:sz w:val="28"/>
        <w:szCs w:val="28"/>
      </w:rPr>
      <w:t>—</w:t>
    </w:r>
  </w:p>
  <w:p>
    <w:pPr>
      <w:pStyle w:val="6"/>
      <w:ind w:firstLine="0" w:firstLineChars="0"/>
      <w:jc w:val="center"/>
      <w:rPr>
        <w:sz w:val="24"/>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bottom w:val="none" w:color="auto" w:sz="0" w:space="0"/>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591872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宋体" w:cs="Arial"/>
      <w:kern w:val="2"/>
      <w:sz w:val="24"/>
      <w:szCs w:val="22"/>
      <w:lang w:val="en-US" w:eastAsia="zh-CN" w:bidi="ar-SA"/>
    </w:rPr>
  </w:style>
  <w:style w:type="paragraph" w:styleId="2">
    <w:name w:val="heading 1"/>
    <w:basedOn w:val="1"/>
    <w:next w:val="1"/>
    <w:qFormat/>
    <w:uiPriority w:val="0"/>
    <w:pPr>
      <w:spacing w:line="584" w:lineRule="exact"/>
      <w:jc w:val="left"/>
      <w:outlineLvl w:val="0"/>
    </w:pPr>
    <w:rPr>
      <w:rFonts w:eastAsia="黑体" w:cs="Times New Roman"/>
      <w:bCs/>
      <w:kern w:val="44"/>
      <w:sz w:val="32"/>
      <w:szCs w:val="44"/>
    </w:rPr>
  </w:style>
  <w:style w:type="paragraph" w:styleId="3">
    <w:name w:val="heading 2"/>
    <w:basedOn w:val="1"/>
    <w:next w:val="1"/>
    <w:unhideWhenUsed/>
    <w:qFormat/>
    <w:uiPriority w:val="0"/>
    <w:pPr>
      <w:spacing w:line="584" w:lineRule="exact"/>
      <w:outlineLvl w:val="1"/>
    </w:pPr>
    <w:rPr>
      <w:rFonts w:eastAsia="仿宋_GB2312" w:cs="Times New Roman"/>
      <w:b/>
      <w:bCs/>
      <w:sz w:val="32"/>
      <w:szCs w:val="32"/>
    </w:rPr>
  </w:style>
  <w:style w:type="paragraph" w:styleId="4">
    <w:name w:val="heading 3"/>
    <w:basedOn w:val="1"/>
    <w:next w:val="1"/>
    <w:unhideWhenUsed/>
    <w:qFormat/>
    <w:uiPriority w:val="0"/>
    <w:pPr>
      <w:spacing w:line="584" w:lineRule="exact"/>
      <w:outlineLvl w:val="2"/>
    </w:pPr>
    <w:rPr>
      <w:rFonts w:eastAsia="仿宋_GB2312" w:cs="Times New Roman"/>
      <w:b/>
      <w:bCs/>
      <w:sz w:val="32"/>
      <w:szCs w:val="32"/>
    </w:rPr>
  </w:style>
  <w:style w:type="character" w:default="1" w:styleId="9">
    <w:name w:val="Default Paragraph Font"/>
    <w:semiHidden/>
    <w:qFormat/>
    <w:uiPriority w:val="0"/>
  </w:style>
  <w:style w:type="table" w:default="1" w:styleId="11">
    <w:name w:val="Normal Table"/>
    <w:semiHidden/>
    <w:qFormat/>
    <w:uiPriority w:val="0"/>
    <w:tblPr>
      <w:tblLayout w:type="fixed"/>
      <w:tblCellMar>
        <w:top w:w="0" w:type="dxa"/>
        <w:left w:w="108" w:type="dxa"/>
        <w:bottom w:w="0" w:type="dxa"/>
        <w:right w:w="108" w:type="dxa"/>
      </w:tblCellMar>
    </w:tblPr>
  </w:style>
  <w:style w:type="paragraph" w:styleId="5">
    <w:name w:val="caption"/>
    <w:basedOn w:val="1"/>
    <w:next w:val="1"/>
    <w:unhideWhenUsed/>
    <w:qFormat/>
    <w:uiPriority w:val="0"/>
    <w:rPr>
      <w:rFonts w:ascii="Cambria" w:hAnsi="Cambria" w:eastAsia="黑体" w:cs="Times New Roman"/>
      <w:sz w:val="20"/>
      <w:szCs w:val="20"/>
    </w:rPr>
  </w:style>
  <w:style w:type="paragraph" w:styleId="6">
    <w:name w:val="footer"/>
    <w:basedOn w:val="1"/>
    <w:uiPriority w:val="0"/>
    <w:pPr>
      <w:tabs>
        <w:tab w:val="center" w:pos="4153"/>
        <w:tab w:val="right" w:pos="8306"/>
      </w:tabs>
      <w:snapToGrid w:val="0"/>
      <w:spacing w:line="240" w:lineRule="auto"/>
      <w:jc w:val="left"/>
    </w:pPr>
    <w:rPr>
      <w:sz w:val="18"/>
      <w:szCs w:val="18"/>
    </w:rPr>
  </w:style>
  <w:style w:type="paragraph" w:styleId="7">
    <w:name w:val="header"/>
    <w:basedOn w:val="1"/>
    <w:uiPriority w:val="0"/>
    <w:pPr>
      <w:pBdr>
        <w:bottom w:val="single" w:color="auto" w:sz="6" w:space="1"/>
      </w:pBdr>
      <w:tabs>
        <w:tab w:val="center" w:pos="4153"/>
        <w:tab w:val="right" w:pos="8306"/>
      </w:tabs>
      <w:snapToGrid w:val="0"/>
      <w:spacing w:line="240" w:lineRule="auto"/>
      <w:jc w:val="center"/>
    </w:pPr>
    <w:rPr>
      <w:sz w:val="18"/>
      <w:szCs w:val="18"/>
    </w:rPr>
  </w:style>
  <w:style w:type="paragraph" w:styleId="8">
    <w:name w:val="Title"/>
    <w:basedOn w:val="1"/>
    <w:next w:val="1"/>
    <w:link w:val="13"/>
    <w:qFormat/>
    <w:uiPriority w:val="0"/>
    <w:pPr>
      <w:spacing w:line="240" w:lineRule="auto"/>
      <w:ind w:firstLine="0" w:firstLineChars="0"/>
      <w:jc w:val="center"/>
    </w:pPr>
    <w:rPr>
      <w:rFonts w:ascii="仿宋_GB2312" w:hAnsi="宋体" w:eastAsia="仿宋_GB2312" w:cs="Times New Roman"/>
      <w:szCs w:val="24"/>
    </w:rPr>
  </w:style>
  <w:style w:type="character" w:styleId="10">
    <w:name w:val="page number"/>
    <w:basedOn w:val="9"/>
    <w:uiPriority w:val="0"/>
  </w:style>
  <w:style w:type="paragraph" w:customStyle="1" w:styleId="12">
    <w:name w:val="泃河"/>
    <w:basedOn w:val="1"/>
    <w:qFormat/>
    <w:uiPriority w:val="0"/>
    <w:rPr>
      <w:rFonts w:ascii="宋体" w:hAnsi="宋体" w:cs="Times New Roman"/>
      <w:szCs w:val="28"/>
    </w:rPr>
  </w:style>
  <w:style w:type="character" w:customStyle="1" w:styleId="13">
    <w:name w:val="Title Char"/>
    <w:basedOn w:val="9"/>
    <w:link w:val="8"/>
    <w:qFormat/>
    <w:locked/>
    <w:uiPriority w:val="0"/>
    <w:rPr>
      <w:rFonts w:ascii="仿宋_GB2312" w:hAnsi="宋体" w:eastAsia="仿宋_GB2312" w:cs="Times New Roman"/>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9" Type="http://schemas.openxmlformats.org/officeDocument/2006/relationships/fontTable" Target="fontTable.xml"/><Relationship Id="rId78" Type="http://schemas.openxmlformats.org/officeDocument/2006/relationships/customXml" Target="../customXml/item1.xml"/><Relationship Id="rId77" Type="http://schemas.openxmlformats.org/officeDocument/2006/relationships/image" Target="media/image44.png"/><Relationship Id="rId76" Type="http://schemas.openxmlformats.org/officeDocument/2006/relationships/image" Target="media/image43.png"/><Relationship Id="rId75" Type="http://schemas.openxmlformats.org/officeDocument/2006/relationships/image" Target="media/image42.png"/><Relationship Id="rId74" Type="http://schemas.openxmlformats.org/officeDocument/2006/relationships/image" Target="media/image41.emf"/><Relationship Id="rId73" Type="http://schemas.openxmlformats.org/officeDocument/2006/relationships/image" Target="media/image40.emf"/><Relationship Id="rId72" Type="http://schemas.openxmlformats.org/officeDocument/2006/relationships/image" Target="media/image39.png"/><Relationship Id="rId71" Type="http://schemas.openxmlformats.org/officeDocument/2006/relationships/image" Target="media/image38.png"/><Relationship Id="rId70" Type="http://schemas.openxmlformats.org/officeDocument/2006/relationships/image" Target="media/image37.png"/><Relationship Id="rId7" Type="http://schemas.openxmlformats.org/officeDocument/2006/relationships/header" Target="header1.xml"/><Relationship Id="rId69" Type="http://schemas.openxmlformats.org/officeDocument/2006/relationships/image" Target="media/image36.png"/><Relationship Id="rId68" Type="http://schemas.openxmlformats.org/officeDocument/2006/relationships/image" Target="media/image35.png"/><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png"/><Relationship Id="rId63" Type="http://schemas.openxmlformats.org/officeDocument/2006/relationships/image" Target="media/image30.png"/><Relationship Id="rId62" Type="http://schemas.openxmlformats.org/officeDocument/2006/relationships/image" Target="media/image29.png"/><Relationship Id="rId61" Type="http://schemas.openxmlformats.org/officeDocument/2006/relationships/image" Target="media/image28.png"/><Relationship Id="rId60" Type="http://schemas.openxmlformats.org/officeDocument/2006/relationships/image" Target="media/image27.png"/><Relationship Id="rId6" Type="http://schemas.openxmlformats.org/officeDocument/2006/relationships/footer" Target="footer4.xml"/><Relationship Id="rId59" Type="http://schemas.openxmlformats.org/officeDocument/2006/relationships/image" Target="media/image26.png"/><Relationship Id="rId58" Type="http://schemas.openxmlformats.org/officeDocument/2006/relationships/image" Target="media/image25.png"/><Relationship Id="rId57" Type="http://schemas.openxmlformats.org/officeDocument/2006/relationships/image" Target="media/image24.png"/><Relationship Id="rId56" Type="http://schemas.openxmlformats.org/officeDocument/2006/relationships/image" Target="media/image23.png"/><Relationship Id="rId55" Type="http://schemas.openxmlformats.org/officeDocument/2006/relationships/image" Target="media/image22.jpeg"/><Relationship Id="rId54" Type="http://schemas.openxmlformats.org/officeDocument/2006/relationships/image" Target="media/image21.jpeg"/><Relationship Id="rId53" Type="http://schemas.openxmlformats.org/officeDocument/2006/relationships/image" Target="media/image20.jpeg"/><Relationship Id="rId52" Type="http://schemas.openxmlformats.org/officeDocument/2006/relationships/image" Target="media/image19.png"/><Relationship Id="rId51" Type="http://schemas.openxmlformats.org/officeDocument/2006/relationships/image" Target="media/image18.png"/><Relationship Id="rId50" Type="http://schemas.openxmlformats.org/officeDocument/2006/relationships/image" Target="media/image17.png"/><Relationship Id="rId5" Type="http://schemas.openxmlformats.org/officeDocument/2006/relationships/footer" Target="footer3.xml"/><Relationship Id="rId49" Type="http://schemas.openxmlformats.org/officeDocument/2006/relationships/image" Target="media/image16.png"/><Relationship Id="rId48" Type="http://schemas.openxmlformats.org/officeDocument/2006/relationships/image" Target="media/image15.jpeg"/><Relationship Id="rId47" Type="http://schemas.openxmlformats.org/officeDocument/2006/relationships/image" Target="media/image14.jpeg"/><Relationship Id="rId46" Type="http://schemas.openxmlformats.org/officeDocument/2006/relationships/image" Target="media/image13.png"/><Relationship Id="rId45" Type="http://schemas.openxmlformats.org/officeDocument/2006/relationships/image" Target="media/image12.jpeg"/><Relationship Id="rId44" Type="http://schemas.openxmlformats.org/officeDocument/2006/relationships/image" Target="media/image11.jpeg"/><Relationship Id="rId43" Type="http://schemas.openxmlformats.org/officeDocument/2006/relationships/image" Target="media/image10.png"/><Relationship Id="rId42" Type="http://schemas.openxmlformats.org/officeDocument/2006/relationships/image" Target="media/image9.png"/><Relationship Id="rId41" Type="http://schemas.openxmlformats.org/officeDocument/2006/relationships/image" Target="media/image8.jpeg"/><Relationship Id="rId40" Type="http://schemas.openxmlformats.org/officeDocument/2006/relationships/image" Target="media/image7.jpeg"/><Relationship Id="rId4" Type="http://schemas.openxmlformats.org/officeDocument/2006/relationships/footer" Target="footer2.xml"/><Relationship Id="rId39" Type="http://schemas.openxmlformats.org/officeDocument/2006/relationships/image" Target="media/image6.jpeg"/><Relationship Id="rId38" Type="http://schemas.openxmlformats.org/officeDocument/2006/relationships/image" Target="media/image5.emf"/><Relationship Id="rId37" Type="http://schemas.openxmlformats.org/officeDocument/2006/relationships/image" Target="media/image4.png"/><Relationship Id="rId36" Type="http://schemas.openxmlformats.org/officeDocument/2006/relationships/image" Target="media/image3.jpeg"/><Relationship Id="rId35" Type="http://schemas.openxmlformats.org/officeDocument/2006/relationships/image" Target="media/image2.png"/><Relationship Id="rId34" Type="http://schemas.openxmlformats.org/officeDocument/2006/relationships/chart" Target="charts/chart2.xml"/><Relationship Id="rId33" Type="http://schemas.openxmlformats.org/officeDocument/2006/relationships/chart" Target="charts/chart1.xml"/><Relationship Id="rId32" Type="http://schemas.openxmlformats.org/officeDocument/2006/relationships/image" Target="media/image1.png"/><Relationship Id="rId31" Type="http://schemas.openxmlformats.org/officeDocument/2006/relationships/theme" Target="theme/theme1.xml"/><Relationship Id="rId30" Type="http://schemas.openxmlformats.org/officeDocument/2006/relationships/footer" Target="footer24.xml"/><Relationship Id="rId3" Type="http://schemas.openxmlformats.org/officeDocument/2006/relationships/footer" Target="footer1.xml"/><Relationship Id="rId29" Type="http://schemas.openxmlformats.org/officeDocument/2006/relationships/footer" Target="footer23.xml"/><Relationship Id="rId28" Type="http://schemas.openxmlformats.org/officeDocument/2006/relationships/footer" Target="footer22.xml"/><Relationship Id="rId27" Type="http://schemas.openxmlformats.org/officeDocument/2006/relationships/footer" Target="footer21.xml"/><Relationship Id="rId26" Type="http://schemas.openxmlformats.org/officeDocument/2006/relationships/footer" Target="footer20.xml"/><Relationship Id="rId25" Type="http://schemas.openxmlformats.org/officeDocument/2006/relationships/header" Target="header4.xml"/><Relationship Id="rId24" Type="http://schemas.openxmlformats.org/officeDocument/2006/relationships/header" Target="header3.xml"/><Relationship Id="rId23" Type="http://schemas.openxmlformats.org/officeDocument/2006/relationships/header" Target="header2.xml"/><Relationship Id="rId22" Type="http://schemas.openxmlformats.org/officeDocument/2006/relationships/footer" Target="footer19.xml"/><Relationship Id="rId21" Type="http://schemas.openxmlformats.org/officeDocument/2006/relationships/footer" Target="footer18.xml"/><Relationship Id="rId20" Type="http://schemas.openxmlformats.org/officeDocument/2006/relationships/footer" Target="footer17.xml"/><Relationship Id="rId2" Type="http://schemas.openxmlformats.org/officeDocument/2006/relationships/settings" Target="settings.xml"/><Relationship Id="rId19" Type="http://schemas.openxmlformats.org/officeDocument/2006/relationships/footer" Target="footer16.xml"/><Relationship Id="rId18" Type="http://schemas.openxmlformats.org/officeDocument/2006/relationships/footer" Target="footer15.xml"/><Relationship Id="rId17" Type="http://schemas.openxmlformats.org/officeDocument/2006/relationships/footer" Target="footer14.xml"/><Relationship Id="rId16" Type="http://schemas.openxmlformats.org/officeDocument/2006/relationships/footer" Target="footer13.xml"/><Relationship Id="rId15" Type="http://schemas.openxmlformats.org/officeDocument/2006/relationships/footer" Target="footer12.xml"/><Relationship Id="rId14" Type="http://schemas.openxmlformats.org/officeDocument/2006/relationships/footer" Target="footer11.xml"/><Relationship Id="rId13" Type="http://schemas.openxmlformats.org/officeDocument/2006/relationships/footer" Target="footer10.xml"/><Relationship Id="rId12" Type="http://schemas.openxmlformats.org/officeDocument/2006/relationships/footer" Target="footer9.xml"/><Relationship Id="rId11" Type="http://schemas.openxmlformats.org/officeDocument/2006/relationships/footer" Target="footer8.xml"/><Relationship Id="rId10" Type="http://schemas.openxmlformats.org/officeDocument/2006/relationships/footer" Target="footer7.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29615;&#22659;&#35268;&#21010;&#38498;\&#24266;&#22346;&#24066;&#36798;&#26631;&#26041;&#26696;&#20462;&#32534;\&#40857;&#27827;\&#24266;&#22346;&#24066;&#40857;&#27827;&#30456;&#20851;&#36164;&#26009;xin\wan%20&#27700;&#25991;&#25968;&#25454;\06&#8212;15&#24180;&#24266;&#22346;&#24066;&#20027;&#35201;&#27827;&#27969;&#27700;&#25991;&#25968;&#25454;.xls"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p>
      </c:txPr>
    </c:title>
    <c:autoTitleDeleted val="0"/>
    <c:plotArea>
      <c:layout/>
      <c:lineChart>
        <c:grouping val="standard"/>
        <c:varyColors val="0"/>
        <c:ser>
          <c:idx val="0"/>
          <c:order val="0"/>
          <c:tx>
            <c:strRef>
              <c:f>Sheet2!$A$2</c:f>
              <c:strCache>
                <c:ptCount val="1"/>
                <c:pt idx="0">
                  <c:v>北昌             </c:v>
                </c:pt>
              </c:strCache>
            </c:strRef>
          </c:tx>
          <c:spPr>
            <a:ln w="15875" cap="rnd" cmpd="sng" algn="ctr">
              <a:solidFill>
                <a:schemeClr val="tx1"/>
              </a:solidFill>
              <a:prstDash val="solid"/>
              <a:round/>
            </a:ln>
            <a:effectLst/>
          </c:spPr>
          <c:marker>
            <c:symbol val="circle"/>
            <c:size val="5"/>
            <c:spPr>
              <a:solidFill>
                <a:schemeClr val="tx1"/>
              </a:solidFill>
              <a:ln w="9525" cap="flat" cmpd="sng" algn="ctr">
                <a:solidFill>
                  <a:schemeClr val="tx1"/>
                </a:solidFill>
                <a:prstDash val="solid"/>
                <a:round/>
              </a:ln>
              <a:effectLst/>
            </c:spPr>
          </c:marker>
          <c:dLbls>
            <c:numFmt formatCode="General" sourceLinked="1"/>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p>
            </c:txPr>
            <c:showLegendKey val="1"/>
            <c:showVal val="1"/>
            <c:showCatName val="1"/>
            <c:showSerName val="1"/>
            <c:showPercent val="1"/>
            <c:showBubbleSize val="1"/>
            <c:showLeaderLines val="0"/>
            <c:extLst>
              <c:ext xmlns:c15="http://schemas.microsoft.com/office/drawing/2012/chart" uri="{CE6537A1-D6FC-4f65-9D91-7224C49458BB}">
                <c15:layout/>
                <c15:showLeaderLines val="0"/>
                <c15:leaderLines/>
              </c:ext>
            </c:extLst>
          </c:dLbls>
          <c:cat>
            <c:strRef>
              <c:f>Sheet2!$B$1:$K$1</c:f>
              <c:strCache>
                <c:ptCount val="10"/>
                <c:pt idx="0">
                  <c:v>2006年</c:v>
                </c:pt>
                <c:pt idx="1">
                  <c:v>2007年</c:v>
                </c:pt>
                <c:pt idx="2">
                  <c:v>2008年</c:v>
                </c:pt>
                <c:pt idx="3">
                  <c:v>2009年</c:v>
                </c:pt>
                <c:pt idx="4">
                  <c:v>2010年</c:v>
                </c:pt>
                <c:pt idx="5">
                  <c:v>2011年</c:v>
                </c:pt>
                <c:pt idx="6">
                  <c:v>2012年</c:v>
                </c:pt>
                <c:pt idx="7">
                  <c:v>2013年</c:v>
                </c:pt>
                <c:pt idx="8">
                  <c:v>2014年</c:v>
                </c:pt>
                <c:pt idx="9">
                  <c:v>2015年</c:v>
                </c:pt>
              </c:strCache>
            </c:strRef>
          </c:cat>
          <c:val>
            <c:numRef>
              <c:f>Sheet2!$B$2:$K$2</c:f>
              <c:numCache>
                <c:formatCode>0.000_ </c:formatCode>
                <c:ptCount val="10"/>
                <c:pt idx="0">
                  <c:v>0.0205</c:v>
                </c:pt>
                <c:pt idx="1">
                  <c:v>0.1661</c:v>
                </c:pt>
                <c:pt idx="2">
                  <c:v>0.062415</c:v>
                </c:pt>
                <c:pt idx="3">
                  <c:v>0.1290348</c:v>
                </c:pt>
                <c:pt idx="4">
                  <c:v>0.12096684</c:v>
                </c:pt>
                <c:pt idx="5">
                  <c:v>0.0194</c:v>
                </c:pt>
                <c:pt idx="6">
                  <c:v>0.0459</c:v>
                </c:pt>
                <c:pt idx="7">
                  <c:v>0.0225</c:v>
                </c:pt>
                <c:pt idx="8">
                  <c:v>0.02809332</c:v>
                </c:pt>
                <c:pt idx="9">
                  <c:v>0.0688536</c:v>
                </c:pt>
              </c:numCache>
            </c:numRef>
          </c:val>
          <c:smooth val="1"/>
        </c:ser>
        <c:dLbls>
          <c:showLegendKey val="1"/>
          <c:showVal val="1"/>
          <c:showCatName val="1"/>
          <c:showSerName val="1"/>
          <c:showPercent val="1"/>
          <c:showBubbleSize val="1"/>
        </c:dLbls>
        <c:marker val="1"/>
        <c:smooth val="1"/>
        <c:axId val="36317440"/>
        <c:axId val="43921792"/>
      </c:lineChart>
      <c:catAx>
        <c:axId val="36317440"/>
        <c:scaling>
          <c:orientation val="minMax"/>
        </c:scaling>
        <c:delete val="0"/>
        <c:axPos val="b"/>
        <c:numFmt formatCode="General" sourceLinked="1"/>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ea"/>
                <a:ea typeface="+mn-ea"/>
                <a:cs typeface="+mn-cs"/>
              </a:defRPr>
            </a:pPr>
          </a:p>
        </c:txPr>
        <c:crossAx val="43921792"/>
        <c:crosses val="autoZero"/>
        <c:auto val="1"/>
        <c:lblAlgn val="ctr"/>
        <c:lblOffset val="100"/>
        <c:noMultiLvlLbl val="0"/>
      </c:catAx>
      <c:valAx>
        <c:axId val="43921792"/>
        <c:scaling>
          <c:orientation val="minMax"/>
        </c:scaling>
        <c:delete val="0"/>
        <c:axPos val="l"/>
        <c:numFmt formatCode="0.000_ "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ea"/>
                <a:ea typeface="+mn-ea"/>
                <a:cs typeface="+mn-cs"/>
              </a:defRPr>
            </a:pPr>
          </a:p>
        </c:txPr>
        <c:crossAx val="36317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solidFill>
      <a:prstDash val="solid"/>
      <a:round/>
    </a:ln>
    <a:effectLst/>
  </c:spPr>
  <c:txPr>
    <a:bodyPr/>
    <a:lstStyle/>
    <a:p>
      <a:pPr>
        <a:defRPr lang="zh-CN"/>
      </a:pPr>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909890673948015"/>
          <c:y val="0.146290491118077"/>
          <c:w val="0.872048567013801"/>
          <c:h val="0.753047581434766"/>
        </c:manualLayout>
      </c:layout>
      <c:barChart>
        <c:barDir val="col"/>
        <c:grouping val="stacked"/>
        <c:varyColors val="0"/>
        <c:ser>
          <c:idx val="0"/>
          <c:order val="0"/>
          <c:tx>
            <c:strRef>
              <c:f>Sheet1!$B$1</c:f>
              <c:strCache>
                <c:ptCount val="1"/>
                <c:pt idx="0">
                  <c:v>第一产业</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ea"/>
                    <a:ea typeface="+mn-ea"/>
                    <a:cs typeface="+mn-cs"/>
                  </a:defRPr>
                </a:pPr>
              </a:p>
            </c:txPr>
            <c:dLblPos val="ctr"/>
            <c:showLegendKey val="1"/>
            <c:showVal val="1"/>
            <c:showCatName val="1"/>
            <c:showSerName val="1"/>
            <c:showPercent val="1"/>
            <c:showBubbleSize val="1"/>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Sheet1!$A$2:$A$7</c:f>
              <c:strCache>
                <c:ptCount val="6"/>
                <c:pt idx="0">
                  <c:v>2013年</c:v>
                </c:pt>
                <c:pt idx="1">
                  <c:v>2014年</c:v>
                </c:pt>
                <c:pt idx="2">
                  <c:v>2015年</c:v>
                </c:pt>
                <c:pt idx="3">
                  <c:v>2016年</c:v>
                </c:pt>
                <c:pt idx="4">
                  <c:v>2017年</c:v>
                </c:pt>
                <c:pt idx="5">
                  <c:v>2018年</c:v>
                </c:pt>
              </c:strCache>
            </c:strRef>
          </c:cat>
          <c:val>
            <c:numRef>
              <c:f>Sheet1!$B$2:$B$7</c:f>
              <c:numCache>
                <c:formatCode>General</c:formatCode>
                <c:ptCount val="6"/>
                <c:pt idx="0">
                  <c:v>10.1</c:v>
                </c:pt>
                <c:pt idx="1">
                  <c:v>10</c:v>
                </c:pt>
                <c:pt idx="2">
                  <c:v>8.3</c:v>
                </c:pt>
                <c:pt idx="3">
                  <c:v>7.3</c:v>
                </c:pt>
                <c:pt idx="4">
                  <c:v>6.5</c:v>
                </c:pt>
                <c:pt idx="5">
                  <c:v>6.3</c:v>
                </c:pt>
              </c:numCache>
            </c:numRef>
          </c:val>
        </c:ser>
        <c:ser>
          <c:idx val="1"/>
          <c:order val="1"/>
          <c:tx>
            <c:strRef>
              <c:f>Sheet1!$C$1</c:f>
              <c:strCache>
                <c:ptCount val="1"/>
                <c:pt idx="0">
                  <c:v>第二产业</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ea"/>
                    <a:ea typeface="+mn-ea"/>
                    <a:cs typeface="+mn-cs"/>
                  </a:defRPr>
                </a:pPr>
              </a:p>
            </c:txPr>
            <c:dLblPos val="ctr"/>
            <c:showLegendKey val="1"/>
            <c:showVal val="1"/>
            <c:showCatName val="1"/>
            <c:showSerName val="1"/>
            <c:showPercent val="1"/>
            <c:showBubbleSize val="1"/>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Sheet1!$A$2:$A$7</c:f>
              <c:strCache>
                <c:ptCount val="6"/>
                <c:pt idx="0">
                  <c:v>2013年</c:v>
                </c:pt>
                <c:pt idx="1">
                  <c:v>2014年</c:v>
                </c:pt>
                <c:pt idx="2">
                  <c:v>2015年</c:v>
                </c:pt>
                <c:pt idx="3">
                  <c:v>2016年</c:v>
                </c:pt>
                <c:pt idx="4">
                  <c:v>2017年</c:v>
                </c:pt>
                <c:pt idx="5">
                  <c:v>2018年</c:v>
                </c:pt>
              </c:strCache>
            </c:strRef>
          </c:cat>
          <c:val>
            <c:numRef>
              <c:f>Sheet1!$C$2:$C$7</c:f>
              <c:numCache>
                <c:formatCode>General</c:formatCode>
                <c:ptCount val="6"/>
                <c:pt idx="0">
                  <c:v>51.3</c:v>
                </c:pt>
                <c:pt idx="1">
                  <c:v>48.4</c:v>
                </c:pt>
                <c:pt idx="2">
                  <c:v>44.6</c:v>
                </c:pt>
                <c:pt idx="3">
                  <c:v>44.2</c:v>
                </c:pt>
                <c:pt idx="4">
                  <c:v>43.8</c:v>
                </c:pt>
                <c:pt idx="5">
                  <c:v>36.6</c:v>
                </c:pt>
              </c:numCache>
            </c:numRef>
          </c:val>
        </c:ser>
        <c:ser>
          <c:idx val="2"/>
          <c:order val="2"/>
          <c:tx>
            <c:strRef>
              <c:f>Sheet1!$D$1</c:f>
              <c:strCache>
                <c:ptCount val="1"/>
                <c:pt idx="0">
                  <c:v>第三产业</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ea"/>
                    <a:ea typeface="+mn-ea"/>
                    <a:cs typeface="+mn-cs"/>
                  </a:defRPr>
                </a:pPr>
              </a:p>
            </c:txPr>
            <c:dLblPos val="ctr"/>
            <c:showLegendKey val="1"/>
            <c:showVal val="1"/>
            <c:showCatName val="1"/>
            <c:showSerName val="1"/>
            <c:showPercent val="1"/>
            <c:showBubbleSize val="1"/>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Sheet1!$A$2:$A$7</c:f>
              <c:strCache>
                <c:ptCount val="6"/>
                <c:pt idx="0">
                  <c:v>2013年</c:v>
                </c:pt>
                <c:pt idx="1">
                  <c:v>2014年</c:v>
                </c:pt>
                <c:pt idx="2">
                  <c:v>2015年</c:v>
                </c:pt>
                <c:pt idx="3">
                  <c:v>2016年</c:v>
                </c:pt>
                <c:pt idx="4">
                  <c:v>2017年</c:v>
                </c:pt>
                <c:pt idx="5">
                  <c:v>2018年</c:v>
                </c:pt>
              </c:strCache>
            </c:strRef>
          </c:cat>
          <c:val>
            <c:numRef>
              <c:f>Sheet1!$D$2:$D$7</c:f>
              <c:numCache>
                <c:formatCode>General</c:formatCode>
                <c:ptCount val="6"/>
                <c:pt idx="0">
                  <c:v>38.6</c:v>
                </c:pt>
                <c:pt idx="1">
                  <c:v>41.6</c:v>
                </c:pt>
                <c:pt idx="2">
                  <c:v>47.1</c:v>
                </c:pt>
                <c:pt idx="3">
                  <c:v>48.5</c:v>
                </c:pt>
                <c:pt idx="4">
                  <c:v>49.7</c:v>
                </c:pt>
                <c:pt idx="5">
                  <c:v>57.1</c:v>
                </c:pt>
              </c:numCache>
            </c:numRef>
          </c:val>
        </c:ser>
        <c:dLbls>
          <c:showLegendKey val="1"/>
          <c:showVal val="1"/>
          <c:showCatName val="1"/>
          <c:showSerName val="1"/>
          <c:showPercent val="1"/>
          <c:showBubbleSize val="1"/>
        </c:dLbls>
        <c:gapWidth val="150"/>
        <c:overlap val="100"/>
        <c:axId val="36461184"/>
        <c:axId val="36487552"/>
      </c:barChart>
      <c:catAx>
        <c:axId val="36461184"/>
        <c:scaling>
          <c:orientation val="minMax"/>
        </c:scaling>
        <c:delete val="0"/>
        <c:axPos val="b"/>
        <c:numFmt formatCode="General" sourceLinked="1"/>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ea"/>
                <a:ea typeface="+mn-ea"/>
                <a:cs typeface="+mn-cs"/>
              </a:defRPr>
            </a:pPr>
          </a:p>
        </c:txPr>
        <c:crossAx val="36487552"/>
        <c:crosses val="autoZero"/>
        <c:auto val="1"/>
        <c:lblAlgn val="ctr"/>
        <c:lblOffset val="100"/>
        <c:noMultiLvlLbl val="0"/>
      </c:catAx>
      <c:valAx>
        <c:axId val="36487552"/>
        <c:scaling>
          <c:orientation val="minMax"/>
          <c:max val="100"/>
        </c:scaling>
        <c:delete val="0"/>
        <c:axPos val="l"/>
        <c:numFmt formatCode="General" sourceLinked="1"/>
        <c:majorTickMark val="out"/>
        <c:minorTickMark val="none"/>
        <c:tickLblPos val="nextTo"/>
        <c:spPr>
          <a:noFill/>
          <a:ln w="6350" cap="flat" cmpd="sng" algn="ctr">
            <a:solidFill>
              <a:schemeClr val="tx1"/>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ea"/>
                <a:ea typeface="+mn-ea"/>
                <a:cs typeface="+mn-cs"/>
              </a:defRPr>
            </a:pPr>
          </a:p>
        </c:txPr>
        <c:crossAx val="36461184"/>
        <c:crosses val="autoZero"/>
        <c:crossBetween val="between"/>
        <c:majorUnit val="20"/>
      </c:valAx>
      <c:spPr>
        <a:noFill/>
        <a:ln>
          <a:noFill/>
        </a:ln>
        <a:effectLst/>
      </c:spPr>
    </c:plotArea>
    <c:legend>
      <c:legendPos val="b"/>
      <c:layout>
        <c:manualLayout>
          <c:xMode val="edge"/>
          <c:yMode val="edge"/>
          <c:x val="0.246706989247312"/>
          <c:y val="0.0286833855799373"/>
          <c:w val="0.533467741935484"/>
          <c:h val="0.077899686520376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ea"/>
              <a:ea typeface="+mn-ea"/>
              <a:cs typeface="+mn-cs"/>
            </a:defRPr>
          </a:pPr>
        </a:p>
      </c:txPr>
    </c:legend>
    <c:plotVisOnly val="1"/>
    <c:dispBlanksAs val="gap"/>
    <c:showDLblsOverMax val="0"/>
  </c:chart>
  <c:spPr>
    <a:solidFill>
      <a:schemeClr val="bg1"/>
    </a:solidFill>
    <a:ln w="9525" cap="flat" cmpd="sng" algn="ctr">
      <a:solidFill>
        <a:schemeClr val="tx1"/>
      </a:solidFill>
      <a:prstDash val="solid"/>
      <a:round/>
    </a:ln>
    <a:effectLst/>
  </c:spPr>
  <c:txPr>
    <a:bodyPr/>
    <a:lstStyle/>
    <a:p>
      <a:pPr>
        <a:defRPr lang="zh-CN"/>
      </a:pPr>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cdr:x>
      <cdr:y>0.0213</cdr:y>
    </cdr:from>
    <cdr:to>
      <cdr:x>0.17389</cdr:x>
      <cdr:y>0.14444</cdr:y>
    </cdr:to>
    <cdr:sp>
      <cdr:nvSpPr>
        <cdr:cNvPr id="2" name="矩形 1"/>
        <cdr:cNvSpPr/>
      </cdr:nvSpPr>
      <cdr:spPr xmlns:a="http://schemas.openxmlformats.org/drawingml/2006/main">
        <a:xfrm xmlns:a="http://schemas.openxmlformats.org/drawingml/2006/main">
          <a:off x="-1493520" y="58420"/>
          <a:ext cx="795020" cy="337820"/>
        </a:xfrm>
        <a:prstGeom xmlns:a="http://schemas.openxmlformats.org/drawingml/2006/main" prst="rect">
          <a:avLst/>
        </a:prstGeom>
        <a:noFill/>
        <a:l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xmlns:a="http://schemas.openxmlformats.org/drawingml/2006/main">
        <a:bodyPr vert="horz" wrap="square" lIns="45720" tIns="45720" rIns="45720" bIns="45720" rtlCol="0" anchor="ctr" anchorCtr="0">
          <a:normAutofit/>
        </a:bodyPr>
        <a:lstStyle/>
        <a:p>
          <a:r>
            <a:rPr lang="zh-CN" altLang="en-US" sz="1000"/>
            <a:t>亿立方米</a:t>
          </a:r>
          <a:endParaRPr lang="zh-CN" altLang="en-US" sz="1000"/>
        </a:p>
      </cdr:txBody>
    </cdr:sp>
  </cdr:relSizeAnchor>
</c:userShapes>
</file>

<file path=word/drawings/drawing2.xml><?xml version="1.0" encoding="utf-8"?>
<c:userShapes xmlns:c="http://schemas.openxmlformats.org/drawingml/2006/chart">
  <cdr:relSizeAnchor xmlns:cdr="http://schemas.openxmlformats.org/drawingml/2006/chartDrawing">
    <cdr:from>
      <cdr:x>0.01142</cdr:x>
      <cdr:y>0.03866</cdr:y>
    </cdr:from>
    <cdr:to>
      <cdr:x>0.10081</cdr:x>
      <cdr:y>0.10972</cdr:y>
    </cdr:to>
    <cdr:sp>
      <cdr:nvSpPr>
        <cdr:cNvPr id="2" name="矩形 1"/>
        <cdr:cNvSpPr/>
      </cdr:nvSpPr>
      <cdr:spPr xmlns:a="http://schemas.openxmlformats.org/drawingml/2006/main">
        <a:xfrm xmlns:a="http://schemas.openxmlformats.org/drawingml/2006/main">
          <a:off x="43180" y="93980"/>
          <a:ext cx="337820" cy="172720"/>
        </a:xfrm>
        <a:prstGeom xmlns:a="http://schemas.openxmlformats.org/drawingml/2006/main" prst="rect">
          <a:avLst/>
        </a:prstGeom>
        <a:noFill/>
        <a:l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xmlns:a="http://schemas.openxmlformats.org/drawingml/2006/main">
        <a:bodyPr vert="horz" wrap="square" lIns="45720" tIns="45720" rIns="45720" bIns="45720" rtlCol="0" anchor="ctr" anchorCtr="0">
          <a:normAutofit/>
        </a:bodyPr>
        <a:lstStyle/>
        <a:p>
          <a:r>
            <a:rPr lang="en-US" altLang="zh-CN">
              <a:latin typeface="+mn-ea"/>
              <a:ea typeface="+mn-ea"/>
            </a:rPr>
            <a:t>%</a:t>
          </a:r>
          <a:endParaRPr lang="zh-CN" altLang="en-US">
            <a:latin typeface="+mn-ea"/>
            <a:ea typeface="+mn-ea"/>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Office_10.8.0.6470_F1E327BC-269C-435d-A152-05C5408002CA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Lenovo</cp:lastModifiedBy>
  <dcterms:modified xsi:type="dcterms:W3CDTF">2019-12-17T02:51:43Z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2052-10.8.0.6470</vt:lpwstr>
  </property>
</Properties>
</file>